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Portoferraio</w:t>
      </w:r>
    </w:p>
    <w:p>
      <w:pPr>
        <w:spacing w:after="200" w:before="0"/>
      </w:pPr>
      <w:r>
        <w:rPr>
          <w:rFonts w:ascii="Calibri" w:hAnsi="Calibri" w:eastAsia="Calibri" w:cs="Calibri"/>
          <w:b w:val="0"/>
          <w:i w:val="0"/>
          <w:color w:val="656665"/>
          <w:sz w:val="21"/>
        </w:rPr>
        <w:t>Livorno  ·  Toscana  ·  11.779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ATTENZIONE</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G912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049014</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800000040</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Portoferraio,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11.779</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10.000-19.999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54</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Livorno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Toscana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G912</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Piano di riequilibrio finanziario pluriennale</w:t>
            </w:r>
          </w:p>
          <w:p>
            <w:pPr>
              <w:spacing w:after="40"/>
              <w:jc w:val="both"/>
            </w:pPr>
            <w:r>
              <w:rPr>
                <w:rFonts w:ascii="Calibri" w:hAnsi="Calibri" w:eastAsia="Calibri" w:cs="Calibri"/>
                <w:b w:val="0"/>
                <w:i w:val="0"/>
                <w:color w:val="333333"/>
                <w:sz w:val="20"/>
              </w:rPr>
              <w:t>L'ente ha adottato piano di riequilibrio nell'anno 2023.</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41031"/>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41031"/>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09530"/>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complessivo: ATTENZIONE</w:t>
            </w:r>
          </w:p>
          <w:p>
            <w:pPr>
              <w:spacing w:after="40"/>
              <w:jc w:val="both"/>
            </w:pPr>
            <w:r>
              <w:rPr>
                <w:rFonts w:ascii="Calibri" w:hAnsi="Calibri" w:eastAsia="Calibri" w:cs="Calibri"/>
                <w:b w:val="0"/>
                <w:i w:val="0"/>
                <w:color w:val="333333"/>
                <w:sz w:val="20"/>
              </w:rPr>
              <w:t>L'Ente NON è deficitario ai sensi dell'art. 242 TUEL (1 parametri critici su 6, soglia di deficitarietà strutturale fissata a 5 parametri su 10). Sono peraltro presenti aree di attenzione che richiedono il monitoraggio continuo, oggetto delle azioni correttive descritte nella sezione F.</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9,90 %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68,70 %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0,33 %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86,20 %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30,60 %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Sezione A</w:t>
            </w:r>
          </w:p>
          <w:p>
            <w:pPr>
              <w:spacing w:after="40"/>
              <w:jc w:val="both"/>
            </w:pPr>
            <w:r>
              <w:rPr>
                <w:rFonts w:ascii="Calibri" w:hAnsi="Calibri" w:eastAsia="Calibri" w:cs="Calibri"/>
                <w:b w:val="0"/>
                <w:i w:val="0"/>
                <w:color w:val="333333"/>
                <w:sz w:val="20"/>
              </w:rPr>
              <w:t xml:space="preserve">Su 6 parametri calcolabili, 1 risulta critico.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1.809,0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1.333,0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1.697,0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45,6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27,2</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12,8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88,0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60,8</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79,0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74,9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45,6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35,1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21,7</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4,6</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67,6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82,2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71,6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64,7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66,5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22,9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97,0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81,5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19,7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1.656,0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9 organismi partecipati presentano risultato d'esercizio negativo (censimento MEF 2023).</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68123"/>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68123"/>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1.747,0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1.809,0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+3,5%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1.734,0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1.608,0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-7,3%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57,2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60,0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+4,9%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9,9</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-16,1%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9,6</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-15,0%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81,6</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88,0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+7,8%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81,9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79,0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-3,5%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998,0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990,0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-0,8%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12.748.391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9.094.968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2.796.957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71,3%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14.415.829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9.456.860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2.301.992</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65,6%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14.520.562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9.972.870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2.805.081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68,7%</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1.316.383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1.051.180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362.811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79,9%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1.764.188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1.133.483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49.226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1.661.650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1.348.666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375.086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81,2%</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2.534.753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1.877.790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728.563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74,1%</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4.112.244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2.868.266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500.496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69,7%</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3.138.868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2.085.765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392.708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66,4%</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10.909.328 €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113.859 €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11.453.714 €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102.195 €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0,89%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11.891.925 €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136.370 €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1,15%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11.758.852 €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112.411 €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0,96%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12.777.952 €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71.140 €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0,56%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Beni e Servizi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60,0 %, contro mediana fascia 35,1.</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Rivedere i contratti di fornitura, razionalizzare gli acquisti tramite centrali di committenza, verificare le concessioni di servizi.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Portoferraio,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Conclusione di sintesi</w:t>
            </w:r>
          </w:p>
          <w:p>
            <w:pPr>
              <w:spacing w:after="40"/>
              <w:jc w:val="both"/>
            </w:pPr>
            <w:r>
              <w:rPr>
                <w:rFonts w:ascii="Calibri" w:hAnsi="Calibri" w:eastAsia="Calibri" w:cs="Calibri"/>
                <w:b w:val="0"/>
                <w:i w:val="0"/>
                <w:color w:val="333333"/>
                <w:sz w:val="20"/>
              </w:rPr>
              <w:t>L'Ente NON è deficitario ai sensi dell'art. 242 TUEL (1 parametri critici su 6, soglia di deficitarietà strutturale fissata a 5 parametri su 10). Sono peraltro presenti aree di attenzione che richiedono il monitoraggio continuo, oggetto delle azioni correttive descritte nella sezione F.</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Portoferraio,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Portoferraio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2026-09-26T16:51:01Z</dcterms:created>
  <dcterms:modified xsi:type="dcterms:W3CDTF">2026-09-26T16:51:01Z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