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Bagnone</w:t>
      </w:r>
    </w:p>
    <w:p>
      <w:pPr>
        <w:spacing w:after="200" w:before="0"/>
      </w:pPr>
      <w:r>
        <w:rPr>
          <w:rFonts w:ascii="Calibri" w:hAnsi="Calibri" w:eastAsia="Calibri" w:cs="Calibri"/>
          <w:b w:val="0"/>
          <w:i w:val="0"/>
          <w:color w:val="656665"/>
          <w:sz w:val="21"/>
        </w:rPr>
        <w:t>Massa-Carrara  ·  Toscana  ·  1.676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A576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045002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011301237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Bagnone,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1.676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17</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Massa-Carrara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A576</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4.210,0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54,7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1.474,0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4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3.022,0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4.210,0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3.006,0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3.991,0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+32,8%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25,2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100,3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93,1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1.061,0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1.604.784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1.487.308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67.936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92,7%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1.726.602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1.556.220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76.372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90,1%</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1.772.861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1.708.669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70.236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890.782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643.996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131.067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828.581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661.477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233.298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79,8%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920.993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776.660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218.263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669.435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563.085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39.942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84,1%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712.436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654.685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76.287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621.006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547.629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30.652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88,2%</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1.545.739 €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147.522 €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1.549.989 €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122.987 €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7,93%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1.555.244 €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119.170 €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1.632.592 €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113.397 €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1.778.905 €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104.357 €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25,2 %, contro mediana fascia 33,1.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10,1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Bagnone,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Bagnone,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Bagnone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2026-09-26T16:50:40Z</dcterms:created>
  <dcterms:modified xsi:type="dcterms:W3CDTF">2026-09-26T16:50:40Z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