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Trausella</w:t>
      </w:r>
    </w:p>
    <w:p>
      <w:pPr>
        <w:spacing w:after="160" w:before="0"/>
      </w:pPr>
      <w:r>
        <w:rPr>
          <w:rFonts w:ascii="Calibri" w:hAnsi="Calibri" w:eastAsia="Calibri" w:cs="Calibri"/>
          <w:b w:val="0"/>
          <w:i w:val="0"/>
          <w:color w:val="333333"/>
          <w:sz w:val="21"/>
        </w:rPr>
        <w:t>Allegato al Rendiconto della gestione, esercizio finanziario 2018.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3</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30/04/2019</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011143035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2018 ai sensi degli artt. 151 e 227 del D.Lgs. 18 agosto 2000 n. 267 (TUEL) e si propone di rappresentare in modo sintetico, ma analiticamente fondato, lo stato di salute finanziaria dell'ente, Comune di Trausella,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3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2018</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entrate tributarie / entrate totali)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3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212686"/>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940000" cy="421268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60" w:before="80"/>
      </w:pPr>
      <w:r>
        <w:rPr>
          <w:rFonts w:ascii="Calibri" w:hAnsi="Calibri" w:eastAsia="Calibri" w:cs="Calibri"/>
          <w:b/>
          <w:i w:val="0"/>
          <w:color w:val="0F2246"/>
          <w:sz w:val="18"/>
        </w:rPr>
        <w:t>Tabella 3. Indicatori di rischio, esercizio 2018</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9638"/>
            <w:gridSpan w:val="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6"/>
              </w:rPr>
              <w:t>Indicatori non disponibili per l'esercizio.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1388362"/>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20000" cy="138836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30,9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-20,4%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1522228"/>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1522228"/>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108.679 €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10.582 €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125.970 €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6.207 €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Trausella, alla chiusura dell'esercizio 2018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3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Trausella,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2018  ·  Comune di Trausella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2026-09-26T17:14:42Z</dcterms:created>
  <dcterms:modified xsi:type="dcterms:W3CDTF">2026-09-26T17:14:42Z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