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Manduria</w:t>
      </w:r>
    </w:p>
    <w:p>
      <w:pPr>
        <w:spacing w:after="200" w:before="0"/>
      </w:pPr>
      <w:r>
        <w:rPr>
          <w:rFonts w:ascii="Calibri" w:hAnsi="Calibri" w:eastAsia="Calibri" w:cs="Calibri"/>
          <w:b w:val="0"/>
          <w:i w:val="0"/>
          <w:color w:val="656665"/>
          <w:sz w:val="21"/>
        </w:rPr>
        <w:t>Taranto  ·  Puglia  ·  29.665 abitanti</w:t>
      </w:r>
    </w:p>
    <w:p>
      <w:pPr>
        <w:spacing w:after="160" w:before="0"/>
      </w:pPr>
      <w:r>
        <w:rPr>
          <w:rFonts w:ascii="Calibri" w:hAnsi="Calibri" w:eastAsia="Calibri" w:cs="Calibri"/>
          <w:b w:val="0"/>
          <w:i w:val="0"/>
          <w:color w:val="333333"/>
          <w:sz w:val="21"/>
        </w:rPr>
        <w:t>Allegato al Rendiconto della gestione, esercizio finanziario 2017.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30/04/2018</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E882</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073012</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011137363</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2017</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30/04/2018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2017 ai sensi degli artt. 151 e 227 del D.Lgs. 18 agosto 2000 n. 267 (TUEL) e si propone di rappresentare in modo sintetico, ma analiticamente fondato, lo stato di salute finanziaria dell'ente, Comune di Manduria,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29.665</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20.000-59.999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84</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Taranto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Puglia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E882</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09530"/>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656665"/>
                <w:sz w:val="17"/>
              </w:rPr>
              <w:t>Dati insufficienti</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41031"/>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41031"/>
                          </a:xfrm>
                          <a:prstGeom prst="rect"/>
                        </pic:spPr>
                      </pic:pic>
                    </a:graphicData>
                  </a:graphic>
                </wp:inline>
              </w:drawing>
            </w:r>
          </w:p>
          <w:p>
            <w:pPr>
              <w:spacing w:after="0"/>
            </w:pPr>
            <w:r>
              <w:rPr>
                <w:rFonts w:ascii="Calibri" w:hAnsi="Calibri" w:eastAsia="Calibri" w:cs="Calibri"/>
                <w:b/>
                <w:i w:val="0"/>
                <w:color w:val="656665"/>
                <w:sz w:val="17"/>
              </w:rPr>
              <w:t>Dati insufficienti</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Dati insufficienti</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2017</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16,40 %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(proxy: spesa personale + interessi / entrate totali)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70,90 %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(riscossione competenza Tit.1 / accertamento)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Anticipazioni di tesoreria chiuse solo contabilmente - dato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3,46 %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SIOPE (interessi passivi / entrate di cassa)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(Allegato a - Risultato di Amministrazione)</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Debiti fuori bilancio riconosciuti / entrate correnti - dato specifico non disponibile in fonti open data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Debiti in riconoscimento / entrate correnti - dato specifico non disponibile in fonti open data</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88,70 %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29,90 %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4695669"/>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469566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976395"/>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976395"/>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2017</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908,0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1.140,0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1.548,0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60,4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45,9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29,4</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16,4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17,3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13,4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88,0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72,0</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58,0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105,2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64,3</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45,5</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50,2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34,8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23,8</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12,8</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15,6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2,8</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4,5</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67,1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71,6</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35,3</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52,7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35,7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52,4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14,7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13,3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103,1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77,2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23,2</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632,0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44199"/>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44199"/>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9638"/>
            <w:gridSpan w:val="6"/>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color w:val="656665"/>
                <w:sz w:val="17"/>
              </w:rPr>
              <w:t>Serie storiche non disponibili.</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2274246"/>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227424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18.470.410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13.091.369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3.171.652</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70,9%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4.918.580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3.172.418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101.813</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64,5%</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2017</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1.152.472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942.677</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269.466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81,8%</w:t>
            </w:r>
          </w:p>
        </w:tc>
      </w:tr>
    </w:tbl>
    <w:p>
      <w:pPr>
        <w:spacing w:after="120" w:before="0"/>
      </w:pPr>
    </w:p>
    <w:p>
      <w:pPr>
        <w:pStyle w:val="Heading2"/>
      </w:pPr>
      <w:r>
        <w:rPr>
          <w:rFonts w:ascii="Calibri" w:hAnsi="Calibri" w:eastAsia="Calibri" w:cs="Calibri"/>
          <w:b/>
          <w:i w:val="0"/>
          <w:color w:val="1A396B"/>
          <w:sz w:val="24"/>
        </w:rPr>
        <w:t>7.1  Composizione delle entrate, anno 2017</w:t>
      </w:r>
    </w:p>
    <w:p>
      <w:pPr>
        <w:spacing w:after="40" w:before="80"/>
        <w:jc w:val="center"/>
      </w:pPr>
      <w:r>
        <w:drawing>
          <wp:inline xmlns:a="http://schemas.openxmlformats.org/drawingml/2006/main" xmlns:pic="http://schemas.openxmlformats.org/drawingml/2006/picture">
            <wp:extent cx="5040000" cy="3409799"/>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409799"/>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2017</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16.260.396 €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932.328 €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5,73%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908,0 €/ab, contro mediana fascia 1.140,0.</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Potenziare le entrate proprie (tributi, tariffe, recupero evasione) e diversificare le fonti di finanziamento.</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50,2 %, contro mediana fascia 34,8.</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35,3 %, contro mediana fascia 52,7.</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35,7 %, contro mediana fascia 52,4.</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Manduria, alla chiusura dell'esercizio 2017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Manduria,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2017  ·  Comune di Manduria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2026-09-26T20:04:43Z</dcterms:created>
  <dcterms:modified xsi:type="dcterms:W3CDTF">2026-09-26T20:04:43Z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