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Codroipo</w:t>
      </w:r>
    </w:p>
    <w:p>
      <w:pPr>
        <w:spacing w:after="200" w:before="0"/>
      </w:pPr>
      <w:r>
        <w:rPr>
          <w:rFonts w:ascii="Calibri" w:hAnsi="Calibri" w:eastAsia="Calibri" w:cs="Calibri"/>
          <w:b w:val="0"/>
          <w:i w:val="0"/>
          <w:color w:val="656665"/>
          <w:sz w:val="21"/>
        </w:rPr>
        <w:t>Udine  ·  Friuli-Venezia Giulia  ·  15.802 abitanti</w:t>
      </w:r>
    </w:p>
    <w:p>
      <w:pPr>
        <w:spacing w:after="160" w:before="0"/>
      </w:pPr>
      <w:r>
        <w:rPr>
          <w:rFonts w:ascii="Calibri" w:hAnsi="Calibri" w:eastAsia="Calibri" w:cs="Calibri"/>
          <w:b w:val="0"/>
          <w:i w:val="0"/>
          <w:color w:val="333333"/>
          <w:sz w:val="21"/>
        </w:rPr>
        <w:t>Allegato al Rendiconto della gestione, esercizio finanziario 2025.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OTTIMO</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0 su 6</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30/04/2026</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catastale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C817</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Codice ISTAT</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030027</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011136846</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2025</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30/04/2026</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2025 ai sensi degli artt. 151 e 227 del D.Lgs. 18 agosto 2000 n. 267 (TUEL) e si propone di rappresentare in modo sintetico, ma analiticamente fondato, lo stato di salute finanziaria dell'ente, Comune di Codroipo,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15.802</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30"/>
              </w:rPr>
              <w:t>10.000-19.999</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73</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Udine</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24"/>
              </w:rPr>
              <w:t>Friuli-Venezia Giulia</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C817</w:t>
            </w:r>
          </w:p>
          <w:p>
            <w:pPr>
              <w:spacing w:after="0"/>
              <w:jc w:val="center"/>
            </w:pPr>
            <w:r>
              <w:rPr>
                <w:rFonts w:ascii="Calibri" w:hAnsi="Calibri" w:eastAsia="Calibri" w:cs="Calibri"/>
                <w:b/>
                <w:i w:val="0"/>
                <w:color w:val="E8B84A"/>
                <w:sz w:val="17"/>
              </w:rPr>
              <w:t>CODICE CATASTALE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Stato finanziario</w:t>
            </w:r>
          </w:p>
          <w:p>
            <w:pPr>
              <w:spacing w:after="40"/>
              <w:jc w:val="both"/>
            </w:pPr>
            <w:r>
              <w:rPr>
                <w:rFonts w:ascii="Calibri" w:hAnsi="Calibri" w:eastAsia="Calibri" w:cs="Calibri"/>
                <w:b w:val="0"/>
                <w:i w:val="0"/>
                <w:color w:val="333333"/>
                <w:sz w:val="20"/>
              </w:rPr>
              <w:t>L'ente non risulta in dissesto né ha attivato procedure di riequilibrio finanziario pluriennale ai sensi dell'art. 243 bis TUEL.</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309530"/>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C4453F"/>
                <w:sz w:val="17"/>
              </w:rPr>
              <w:t>In peggioramento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14362"/>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C4453F"/>
                <w:sz w:val="17"/>
              </w:rPr>
              <w:t>In peggioramento</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RISCOSSIONE TRIBUTARIE</w:t>
            </w:r>
          </w:p>
          <w:p>
            <w:pPr>
              <w:spacing w:after="20"/>
              <w:jc w:val="center"/>
            </w:pPr>
            <w:r>
              <w:drawing>
                <wp:inline xmlns:a="http://schemas.openxmlformats.org/drawingml/2006/main" xmlns:pic="http://schemas.openxmlformats.org/drawingml/2006/picture">
                  <wp:extent cx="2880000" cy="1314362"/>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2E7D52"/>
                <w:sz w:val="17"/>
              </w:rPr>
              <w:t>In miglioramento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14362"/>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C4453F"/>
                <w:sz w:val="17"/>
              </w:rPr>
              <w:t>In peggioramento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complessivo: OTTIMO</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2025</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13,70 %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71,30 %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1,52 %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104,00 %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19,70 %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 Tit. I, II, III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Sezione A</w:t>
            </w:r>
          </w:p>
          <w:p>
            <w:pPr>
              <w:spacing w:after="40"/>
              <w:jc w:val="both"/>
            </w:pPr>
            <w:r>
              <w:rPr>
                <w:rFonts w:ascii="Calibri" w:hAnsi="Calibri" w:eastAsia="Calibri" w:cs="Calibri"/>
                <w:b w:val="0"/>
                <w:i w:val="0"/>
                <w:color w:val="333333"/>
                <w:sz w:val="20"/>
              </w:rPr>
              <w:t xml:space="preserve">Su 6 parametri calcolabili, 0 risultano critici.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2984696"/>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940000" cy="298469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40" w:before="80"/>
        <w:jc w:val="center"/>
      </w:pPr>
      <w:r>
        <w:drawing>
          <wp:inline xmlns:a="http://schemas.openxmlformats.org/drawingml/2006/main" xmlns:pic="http://schemas.openxmlformats.org/drawingml/2006/picture">
            <wp:extent cx="5940000" cy="3856047"/>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940000" cy="3856047"/>
                    </a:xfrm>
                    <a:prstGeom prst="rect"/>
                  </pic:spPr>
                </pic:pic>
              </a:graphicData>
            </a:graphic>
          </wp:inline>
        </w:drawing>
      </w:r>
    </w:p>
    <w:p>
      <w:pPr>
        <w:spacing w:after="200" w:before="0"/>
        <w:jc w:val="center"/>
      </w:pPr>
      <w:r>
        <w:rPr>
          <w:rFonts w:ascii="Calibri" w:hAnsi="Calibri" w:eastAsia="Calibri" w:cs="Calibri"/>
          <w:b w:val="0"/>
          <w:i/>
          <w:color w:val="656665"/>
          <w:sz w:val="17"/>
        </w:rPr>
        <w:t>Figura 3. Semaforo per ciascun indicatore. Verde basso, giallo medio, rosso alto.</w:t>
      </w:r>
    </w:p>
    <w:p>
      <w:pPr>
        <w:keepNext/>
        <w:spacing w:after="60" w:before="80"/>
      </w:pPr>
      <w:r>
        <w:rPr>
          <w:rFonts w:ascii="Calibri" w:hAnsi="Calibri" w:eastAsia="Calibri" w:cs="Calibri"/>
          <w:b/>
          <w:i w:val="0"/>
          <w:color w:val="0F2246"/>
          <w:sz w:val="18"/>
        </w:rPr>
        <w:t>Tabella 3. Indicatori di rischio, esercizio 2025</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Entrate pro-capite</w:t>
            </w:r>
          </w:p>
          <w:p>
            <w:pPr>
              <w:spacing w:after="0"/>
              <w:jc w:val="left"/>
            </w:pPr>
            <w:r>
              <w:rPr>
                <w:rFonts w:ascii="Calibri" w:hAnsi="Calibri" w:eastAsia="Calibri" w:cs="Calibri"/>
                <w:b w:val="0"/>
                <w:i w:val="0"/>
                <w:color w:val="656665"/>
                <w:sz w:val="14"/>
              </w:rPr>
              <w:t>Totale entrate di cassa per abitante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1.620,0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1.333,0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1.697,0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Autonomia finanziaria</w:t>
            </w:r>
          </w:p>
          <w:p>
            <w:pPr>
              <w:spacing w:after="0"/>
              <w:jc w:val="left"/>
            </w:pPr>
            <w:r>
              <w:rPr>
                <w:rFonts w:ascii="Calibri" w:hAnsi="Calibri" w:eastAsia="Calibri" w:cs="Calibri"/>
                <w:b w:val="0"/>
                <w:i w:val="0"/>
                <w:color w:val="656665"/>
                <w:sz w:val="14"/>
              </w:rPr>
              <w:t>% entrate proprie (tributarie + extratributarie) su totale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28,0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45,6</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27,2</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Rigidità strutturale</w:t>
            </w:r>
          </w:p>
          <w:p>
            <w:pPr>
              <w:spacing w:after="0"/>
              <w:jc w:val="left"/>
            </w:pPr>
            <w:r>
              <w:rPr>
                <w:rFonts w:ascii="Calibri" w:hAnsi="Calibri" w:eastAsia="Calibri" w:cs="Calibri"/>
                <w:b w:val="0"/>
                <w:i w:val="0"/>
                <w:color w:val="656665"/>
                <w:sz w:val="14"/>
              </w:rPr>
              <w:t>% spese rigide (personale + debito) su entrate correnti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13,7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14,0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12,8</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Tributarie</w:t>
            </w:r>
          </w:p>
          <w:p>
            <w:pPr>
              <w:spacing w:after="0"/>
              <w:jc w:val="left"/>
            </w:pPr>
            <w:r>
              <w:rPr>
                <w:rFonts w:ascii="Calibri" w:hAnsi="Calibri" w:eastAsia="Calibri" w:cs="Calibri"/>
                <w:b w:val="0"/>
                <w:i w:val="0"/>
                <w:color w:val="656665"/>
                <w:sz w:val="14"/>
              </w:rPr>
              <w:t>% riscosso su accertato per entrate Titolo I (tributarie)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112,5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80,9</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60,8</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Extratributarie</w:t>
            </w:r>
          </w:p>
          <w:p>
            <w:pPr>
              <w:spacing w:after="0"/>
              <w:jc w:val="left"/>
            </w:pPr>
            <w:r>
              <w:rPr>
                <w:rFonts w:ascii="Calibri" w:hAnsi="Calibri" w:eastAsia="Calibri" w:cs="Calibri"/>
                <w:b w:val="0"/>
                <w:i w:val="0"/>
                <w:color w:val="656665"/>
                <w:sz w:val="14"/>
              </w:rPr>
              <w:t>% riscosso su accertato per entrate Titolo III (sanzioni CdS, permessi a costruire, canoni)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95,8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74,9</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45,6</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Incidenza Beni e Servizi</w:t>
            </w:r>
          </w:p>
          <w:p>
            <w:pPr>
              <w:spacing w:after="0"/>
              <w:jc w:val="left"/>
            </w:pPr>
            <w:r>
              <w:rPr>
                <w:rFonts w:ascii="Calibri" w:hAnsi="Calibri" w:eastAsia="Calibri" w:cs="Calibri"/>
                <w:b w:val="0"/>
                <w:i w:val="0"/>
                <w:color w:val="656665"/>
                <w:sz w:val="14"/>
              </w:rPr>
              <w:t>% spesa per beni e servizi su totale uscite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22,9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35,1</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21,7</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Incidenza Spesa Personale</w:t>
            </w:r>
          </w:p>
          <w:p>
            <w:pPr>
              <w:spacing w:after="0"/>
              <w:jc w:val="left"/>
            </w:pPr>
            <w:r>
              <w:rPr>
                <w:rFonts w:ascii="Calibri" w:hAnsi="Calibri" w:eastAsia="Calibri" w:cs="Calibri"/>
                <w:b w:val="0"/>
                <w:i w:val="0"/>
                <w:color w:val="656665"/>
                <w:sz w:val="14"/>
              </w:rPr>
              <w:t>% spesa personale su totale uscite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10,9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12,9</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11,6</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Trend Entrate (3 anni)</w:t>
            </w:r>
          </w:p>
          <w:p>
            <w:pPr>
              <w:spacing w:after="0"/>
              <w:jc w:val="left"/>
            </w:pPr>
            <w:r>
              <w:rPr>
                <w:rFonts w:ascii="Calibri" w:hAnsi="Calibri" w:eastAsia="Calibri" w:cs="Calibri"/>
                <w:b w:val="0"/>
                <w:i w:val="0"/>
                <w:color w:val="656665"/>
                <w:sz w:val="14"/>
              </w:rPr>
              <w:t>Variazione % entrate 2023 → 2025</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12,5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Dipendenti per 1000 abitanti</w:t>
            </w:r>
          </w:p>
          <w:p>
            <w:pPr>
              <w:spacing w:after="0"/>
              <w:jc w:val="left"/>
            </w:pPr>
            <w:r>
              <w:rPr>
                <w:rFonts w:ascii="Calibri" w:hAnsi="Calibri" w:eastAsia="Calibri" w:cs="Calibri"/>
                <w:b w:val="0"/>
                <w:i w:val="0"/>
                <w:color w:val="656665"/>
                <w:sz w:val="14"/>
              </w:rPr>
              <w:t>Numero dipendenti comunali ogni 1000 residenti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Conto Annuale RGS</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4,6</w:t>
            </w:r>
          </w:p>
          <w:p>
            <w:pPr>
              <w:spacing w:after="0"/>
              <w:jc w:val="right"/>
            </w:pPr>
            <w:r>
              <w:rPr>
                <w:rFonts w:ascii="Calibri" w:hAnsi="Calibri" w:eastAsia="Calibri" w:cs="Calibri"/>
                <w:b w:val="0"/>
                <w:i w:val="0"/>
                <w:color w:val="656665"/>
                <w:sz w:val="14"/>
              </w:rPr>
              <w:t>dip/1000ab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4,1</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Raccolta Differenziata</w:t>
            </w:r>
          </w:p>
          <w:p>
            <w:pPr>
              <w:spacing w:after="0"/>
              <w:jc w:val="left"/>
            </w:pPr>
            <w:r>
              <w:rPr>
                <w:rFonts w:ascii="Calibri" w:hAnsi="Calibri" w:eastAsia="Calibri" w:cs="Calibri"/>
                <w:b w:val="0"/>
                <w:i w:val="0"/>
                <w:color w:val="656665"/>
                <w:sz w:val="14"/>
              </w:rPr>
              <w:t>% rifiuti raccolti in modo differenziato</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ISPRA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81,5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76,3</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Tributi</w:t>
            </w:r>
          </w:p>
          <w:p>
            <w:pPr>
              <w:spacing w:after="0"/>
              <w:jc w:val="left"/>
            </w:pPr>
            <w:r>
              <w:rPr>
                <w:rFonts w:ascii="Calibri" w:hAnsi="Calibri" w:eastAsia="Calibri" w:cs="Calibri"/>
                <w:b w:val="0"/>
                <w:i w:val="0"/>
                <w:color w:val="656665"/>
                <w:sz w:val="14"/>
              </w:rPr>
              <w:t>% fondo accantonato FCDE su vecchi crediti tributari (Allegato c)</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40,9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71,6</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Globale</w:t>
            </w:r>
          </w:p>
          <w:p>
            <w:pPr>
              <w:spacing w:after="0"/>
              <w:jc w:val="left"/>
            </w:pPr>
            <w:r>
              <w:rPr>
                <w:rFonts w:ascii="Calibri" w:hAnsi="Calibri" w:eastAsia="Calibri" w:cs="Calibri"/>
                <w:b w:val="0"/>
                <w:i w:val="0"/>
                <w:color w:val="656665"/>
                <w:sz w:val="14"/>
              </w:rPr>
              <w:t>% fondo FCDE su vecchi crediti a rischio insoluto (tributi + extratributarie)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61,8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66,5</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Margine Corrente</w:t>
            </w:r>
          </w:p>
          <w:p>
            <w:pPr>
              <w:spacing w:after="0"/>
              <w:jc w:val="left"/>
            </w:pPr>
            <w:r>
              <w:rPr>
                <w:rFonts w:ascii="Calibri" w:hAnsi="Calibri" w:eastAsia="Calibri" w:cs="Calibri"/>
                <w:b w:val="0"/>
                <w:i w:val="0"/>
                <w:color w:val="656665"/>
                <w:sz w:val="14"/>
              </w:rPr>
              <w:t>% margine tra entrate correnti e spese correnti (rendiconto)</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19,5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13,2</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Capacità di Pagamento</w:t>
            </w:r>
          </w:p>
          <w:p>
            <w:pPr>
              <w:spacing w:after="0"/>
              <w:jc w:val="left"/>
            </w:pPr>
            <w:r>
              <w:rPr>
                <w:rFonts w:ascii="Calibri" w:hAnsi="Calibri" w:eastAsia="Calibri" w:cs="Calibri"/>
                <w:b w:val="0"/>
                <w:i w:val="0"/>
                <w:color w:val="656665"/>
                <w:sz w:val="14"/>
              </w:rPr>
              <w:t>% pagato (CC+CR) su impegnato per spesa corrente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99,3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81,5</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Residuo IMU/ICI/TASI non riscosso</w:t>
            </w:r>
          </w:p>
          <w:p>
            <w:pPr>
              <w:spacing w:after="0"/>
              <w:jc w:val="left"/>
            </w:pPr>
            <w:r>
              <w:rPr>
                <w:rFonts w:ascii="Calibri" w:hAnsi="Calibri" w:eastAsia="Calibri" w:cs="Calibri"/>
                <w:b w:val="0"/>
                <w:i w:val="0"/>
                <w:color w:val="656665"/>
                <w:sz w:val="14"/>
              </w:rPr>
              <w:t>% dell'esercizio non riscossa in competenza per IMU, ICI e TASI (Allegato d, cat. 06+08+76)</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6,8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Risultato Amministrazione pro-capite</w:t>
            </w:r>
          </w:p>
          <w:p>
            <w:pPr>
              <w:spacing w:after="0"/>
              <w:jc w:val="left"/>
            </w:pPr>
            <w:r>
              <w:rPr>
                <w:rFonts w:ascii="Calibri" w:hAnsi="Calibri" w:eastAsia="Calibri" w:cs="Calibri"/>
                <w:b w:val="0"/>
                <w:i w:val="0"/>
                <w:color w:val="656665"/>
                <w:sz w:val="14"/>
              </w:rPr>
              <w:t>Avanzo/Disavanzo di amministrazione per abitante (Allegato a)</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666,0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Partecipate in perdita</w:t>
            </w:r>
          </w:p>
          <w:p>
            <w:pPr>
              <w:spacing w:after="0"/>
              <w:jc w:val="left"/>
            </w:pPr>
            <w:r>
              <w:rPr>
                <w:rFonts w:ascii="Calibri" w:hAnsi="Calibri" w:eastAsia="Calibri" w:cs="Calibri"/>
                <w:b w:val="0"/>
                <w:i w:val="0"/>
                <w:color w:val="656665"/>
                <w:sz w:val="14"/>
              </w:rPr>
              <w:t>0 su 5 organismi partecipati presentano risultato d'esercizio negativo (censimento MEF 2023).</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MEF - Partecipazioni PA, censimento 2023</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Disavanzo / Entrate correnti</w:t>
            </w:r>
          </w:p>
          <w:p>
            <w:pPr>
              <w:spacing w:after="0"/>
              <w:jc w:val="left"/>
            </w:pPr>
            <w:r>
              <w:rPr>
                <w:rFonts w:ascii="Calibri" w:hAnsi="Calibri" w:eastAsia="Calibri" w:cs="Calibri"/>
                <w:b w:val="0"/>
                <w:i w:val="0"/>
                <w:color w:val="656665"/>
                <w:sz w:val="14"/>
              </w:rPr>
              <w:t>Il comune non presenta disavanzo di amministrazione.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2768123"/>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6120000" cy="2768123"/>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1.707,0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1.620,0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-5,1%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Uscite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1.560,0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1.803,0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+15,6%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32,2</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28,0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-13,0%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13,7</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+9,6%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Spesa personale / Entrate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12,1</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+10,0%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Tit.1 (tributarie)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102,0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112,5</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+10,3%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Tit.3 (extratrib.)</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97,3</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95,8</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7"/>
              </w:rPr>
              <w:t>-1,5%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656665"/>
                <w:sz w:val="16"/>
              </w:rPr>
              <w:t>Stabile</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Pressione tributaria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550,0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454,0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-17,5%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3167337"/>
            <wp:docPr id="11" name="Picture 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940000" cy="3167337"/>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spacing w:after="40" w:before="80"/>
        <w:jc w:val="center"/>
      </w:pPr>
      <w:r>
        <w:drawing>
          <wp:inline xmlns:a="http://schemas.openxmlformats.org/drawingml/2006/main" xmlns:pic="http://schemas.openxmlformats.org/drawingml/2006/picture">
            <wp:extent cx="5940000" cy="1523600"/>
            <wp:docPr id="12" name="Picture 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940000" cy="1523600"/>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Accertamenti e riscossioni degli ultimi tre esercizi (euro)</w:t>
      </w:r>
    </w:p>
    <w:tbl>
      <w:tblPr>
        <w:tblW w:type="dxa" w:w="9639"/>
        <w:jc w:val="center"/>
        <w:tblLayout w:type="fixed"/>
        <w:tblLook w:firstColumn="1" w:firstRow="1" w:lastColumn="0" w:lastRow="0" w:noHBand="0" w:noVBand="1" w:val="04A0"/>
      </w:tblPr>
      <w:tblGrid>
        <w:gridCol w:w="2835"/>
        <w:gridCol w:w="794"/>
        <w:gridCol w:w="1701"/>
        <w:gridCol w:w="1474"/>
        <w:gridCol w:w="1474"/>
        <w:gridCol w:w="1361"/>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Titolo</w:t>
            </w:r>
          </w:p>
        </w:tc>
        <w:tc>
          <w:tcPr>
            <w:tcW w:type="dxa" w:w="79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Anno</w:t>
            </w:r>
          </w:p>
        </w:tc>
        <w:tc>
          <w:tcPr>
            <w:tcW w:type="dxa" w:w="170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Accertato</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C/C</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C/R</w:t>
            </w:r>
          </w:p>
        </w:tc>
        <w:tc>
          <w:tcPr>
            <w:tcW w:type="dxa" w:w="136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Compet.</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tributarie (Tit.I)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8.427.764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6.047.954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2.287.679</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71,8%</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8.527.634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6.080.095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2.617.491</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D98A2B"/>
                <w:sz w:val="17"/>
              </w:rPr>
              <w:t>71,3%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6.367.862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4.537.526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2.629.477</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71,3%</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Trasferimenti correnti (Tit.II)</w:t>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6.032.595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5.647.782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194.881</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93,6%</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6.511.590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6.274.554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411.321</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96,4%</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6.683.529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6.286.730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186.120</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94,1%</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extratributarie (Tit.III)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3.065.406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2.098.981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927.369</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68,5%</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3.688.574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2.552.842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1.035.270</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D98A2B"/>
                <w:sz w:val="17"/>
              </w:rPr>
              <w:t>69,2%</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3.496.722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2.456.202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892.452</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70,2%</w:t>
            </w:r>
          </w:p>
        </w:tc>
      </w:tr>
    </w:tbl>
    <w:p>
      <w:pPr>
        <w:spacing w:after="120" w:before="0"/>
      </w:pPr>
    </w:p>
    <w:p>
      <w:pPr>
        <w:pStyle w:val="Heading2"/>
      </w:pPr>
      <w:r>
        <w:rPr>
          <w:rFonts w:ascii="Calibri" w:hAnsi="Calibri" w:eastAsia="Calibri" w:cs="Calibri"/>
          <w:b/>
          <w:i w:val="0"/>
          <w:color w:val="1A396B"/>
          <w:sz w:val="24"/>
        </w:rPr>
        <w:t>7.1  Composizione delle entrate, anno 2025</w:t>
      </w:r>
    </w:p>
    <w:p>
      <w:pPr>
        <w:spacing w:after="40" w:before="80"/>
        <w:jc w:val="center"/>
      </w:pPr>
      <w:r>
        <w:drawing>
          <wp:inline xmlns:a="http://schemas.openxmlformats.org/drawingml/2006/main" xmlns:pic="http://schemas.openxmlformats.org/drawingml/2006/picture">
            <wp:extent cx="5040000" cy="3409799"/>
            <wp:docPr id="13" name="Picture 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040000" cy="3409799"/>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4" name="Picture 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5.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2021</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6.111.987 €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587.179 €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9,61%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2022</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6.415.378 €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518.177 €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8,08%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2023</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8.335.632 €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451.203 €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5,41%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2024</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8.697.586 €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408.241 €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4,69%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2025</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7.167.003 €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388.282 €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5,42%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2381"/>
        <w:gridCol w:w="3175"/>
        <w:gridCol w:w="4082"/>
      </w:tblGrid>
      <w:tr>
        <w:trPr>
          <w:cantSplit/>
          <w:tblHeader/>
        </w:trPr>
        <w:tc>
          <w:tcPr>
            <w:tcW w:type="dxa" w:w="2381"/>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Area</w:t>
            </w:r>
          </w:p>
        </w:tc>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Criticità rilevata</w:t>
            </w:r>
          </w:p>
        </w:tc>
        <w:tc>
          <w:tcPr>
            <w:tcW w:type="dxa" w:w="408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Azione correttiva</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28,0 %, contro mediana fascia 45,6.</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Rafforzare le entrate proprie, ridurre la dipendenza da trasferimenti statali/regionali.</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FCDE Copertura Tributi</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40,9 %, contro mediana fascia 71,6.</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Incrementare l'accantonamento al FCDE per coprire adeguatamente i crediti di dubbia esigibilità tributari. Verificare la congruità del fondo rispetto alla media dei residui storicamente non riscossi.</w:t>
            </w:r>
          </w:p>
        </w:tc>
      </w:tr>
    </w:tbl>
    <w:p>
      <w:pPr>
        <w:spacing w:after="12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Codroipo, alla chiusura dell'esercizio 2025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Conclusione di sintesi</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Codroipo,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2025  ·  Comune di Codroipo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2026-09-26T15:15:39Z</dcterms:created>
  <dcterms:modified xsi:type="dcterms:W3CDTF">2026-09-26T15:15:39Z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