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CustomOT"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sectPr>
          <w:pgSz w:w="11906" w:h="16838"/>
          <w:pgMar w:top="0" w:right="0" w:bottom="0" w:left="0" w:header="0" w:footer="0" w:gutter="0"/>
          <w:cols w:space="720"/>
          <w:docGrid w:linePitch="360"/>
        </w:sectPr>
      </w:pPr>
      <w:r>
        <w:drawing>
          <wp:inline xmlns:a="http://schemas.openxmlformats.org/drawingml/2006/main" xmlns:pic="http://schemas.openxmlformats.org/drawingml/2006/picture" distT="0" distB="0" distL="0" distR="0">
            <wp:extent cx="7560000" cy="10692000"/>
            <wp:docPr id="1" name="Copertina" descr="Copertina"/>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560000" cy="10692000"/>
                    </a:xfrm>
                    <a:prstGeom prst="rect"/>
                  </pic:spPr>
                </pic:pic>
              </a:graphicData>
            </a:graphic>
          </wp:inline>
        </w:drawing>
      </w:r>
    </w:p>
    <w:p>
      <w:pPr>
        <w:pStyle w:val="Heading1"/>
        <w:pBdr>
          <w:bottom w:val="single" w:sz="8" w:space="4" w:color="C7951E"/>
        </w:pBdr>
      </w:pPr>
      <w:r>
        <w:rPr>
          <w:rFonts w:ascii="Calibri" w:hAnsi="Calibri" w:eastAsia="Calibri" w:cs="Calibri"/>
          <w:b/>
          <w:i w:val="0"/>
          <w:color w:val="0F2246"/>
          <w:sz w:val="30"/>
        </w:rPr>
        <w:t>Scheda della relazione</w:t>
      </w:r>
    </w:p>
    <w:p>
      <w:pPr>
        <w:spacing w:after="40" w:before="0"/>
      </w:pPr>
      <w:r>
        <w:rPr>
          <w:rFonts w:ascii="Calibri" w:hAnsi="Calibri" w:eastAsia="Calibri" w:cs="Calibri"/>
          <w:b/>
          <w:i w:val="0"/>
          <w:color w:val="0F2246"/>
          <w:sz w:val="32"/>
        </w:rPr>
        <w:t>Comune di Imer</w:t>
      </w:r>
    </w:p>
    <w:p>
      <w:pPr>
        <w:spacing w:after="200" w:before="0"/>
      </w:pPr>
      <w:r>
        <w:rPr>
          <w:rFonts w:ascii="Calibri" w:hAnsi="Calibri" w:eastAsia="Calibri" w:cs="Calibri"/>
          <w:b w:val="0"/>
          <w:i w:val="0"/>
          <w:color w:val="656665"/>
          <w:sz w:val="21"/>
        </w:rPr>
        <w:t>Trento  ·  Trentino-Alto Adige  ·  1.176 abitanti</w:t>
      </w:r>
    </w:p>
    <w:p>
      <w:pPr>
        <w:spacing w:after="160" w:before="0"/>
      </w:pPr>
      <w:r>
        <w:rPr>
          <w:rFonts w:ascii="Calibri" w:hAnsi="Calibri" w:eastAsia="Calibri" w:cs="Calibri"/>
          <w:b w:val="0"/>
          <w:i w:val="0"/>
          <w:color w:val="333333"/>
          <w:sz w:val="21"/>
        </w:rPr>
        <w:t>Allegato al Rendiconto della gestione, esercizio finanziario 2018. Relazione sul monitoraggio degli indicatori e dei parametri di deficitarietà.</w:t>
      </w:r>
    </w:p>
    <w:tbl>
      <w:tblPr>
        <w:tblW w:type="dxa" w:w="9636"/>
        <w:jc w:val="center"/>
        <w:tblLayout w:type="fixed"/>
        <w:tblLook w:firstColumn="1" w:firstRow="1" w:lastColumn="0" w:lastRow="0" w:noHBand="0" w:noVBand="1" w:val="04A0"/>
      </w:tblPr>
      <w:tblGrid>
        <w:gridCol w:w="2409"/>
        <w:gridCol w:w="2409"/>
        <w:gridCol w:w="2409"/>
        <w:gridCol w:w="2409"/>
      </w:tblGrid>
      <w:tr>
        <w:trPr>
          <w:cantSplit/>
        </w:trPr>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OTTIMO</w:t>
            </w:r>
          </w:p>
          <w:p>
            <w:pPr>
              <w:spacing w:after="0"/>
              <w:jc w:val="center"/>
            </w:pPr>
            <w:r>
              <w:rPr>
                <w:rFonts w:ascii="Calibri" w:hAnsi="Calibri" w:eastAsia="Calibri" w:cs="Calibri"/>
                <w:b/>
                <w:i w:val="0"/>
                <w:color w:val="E8B84A"/>
                <w:sz w:val="17"/>
              </w:rPr>
              <w:t>ESITO COMPLESSIVO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0 su 6</w:t>
            </w:r>
          </w:p>
          <w:p>
            <w:pPr>
              <w:spacing w:after="0"/>
              <w:jc w:val="center"/>
            </w:pPr>
            <w:r>
              <w:rPr>
                <w:rFonts w:ascii="Calibri" w:hAnsi="Calibri" w:eastAsia="Calibri" w:cs="Calibri"/>
                <w:b/>
                <w:i w:val="0"/>
                <w:color w:val="E8B84A"/>
                <w:sz w:val="17"/>
              </w:rPr>
              <w:t>PARAMETRI CRITICI</w:t>
            </w:r>
          </w:p>
          <w:p>
            <w:pPr>
              <w:spacing w:after="0"/>
              <w:jc w:val="center"/>
            </w:pPr>
            <w:r>
              <w:rPr>
                <w:rFonts w:ascii="Calibri" w:hAnsi="Calibri" w:eastAsia="Calibri" w:cs="Calibri"/>
                <w:b w:val="0"/>
                <w:i w:val="0"/>
                <w:color w:val="B5C2D6"/>
                <w:sz w:val="15"/>
              </w:rPr>
              <w:t>su quelli calcolabili</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30/04/2019</w:t>
            </w:r>
          </w:p>
          <w:p>
            <w:pPr>
              <w:spacing w:after="0"/>
              <w:jc w:val="center"/>
            </w:pPr>
            <w:r>
              <w:rPr>
                <w:rFonts w:ascii="Calibri" w:hAnsi="Calibri" w:eastAsia="Calibri" w:cs="Calibri"/>
                <w:b/>
                <w:i w:val="0"/>
                <w:color w:val="E8B84A"/>
                <w:sz w:val="17"/>
              </w:rPr>
              <w:t>APPROVAZIONE</w:t>
            </w:r>
          </w:p>
          <w:p>
            <w:pPr>
              <w:spacing w:after="0"/>
              <w:jc w:val="center"/>
            </w:pPr>
            <w:r>
              <w:rPr>
                <w:rFonts w:ascii="Calibri" w:hAnsi="Calibri" w:eastAsia="Calibri" w:cs="Calibri"/>
                <w:b w:val="0"/>
                <w:i w:val="0"/>
                <w:color w:val="B5C2D6"/>
                <w:sz w:val="15"/>
              </w:rPr>
              <w:t>termine del rendiconto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26/09/2026</w:t>
            </w:r>
          </w:p>
          <w:p>
            <w:pPr>
              <w:spacing w:after="0"/>
              <w:jc w:val="center"/>
            </w:pPr>
            <w:r>
              <w:rPr>
                <w:rFonts w:ascii="Calibri" w:hAnsi="Calibri" w:eastAsia="Calibri" w:cs="Calibri"/>
                <w:b/>
                <w:i w:val="0"/>
                <w:color w:val="E8B84A"/>
                <w:sz w:val="17"/>
              </w:rPr>
              <w:t>DATA</w:t>
            </w:r>
          </w:p>
          <w:p>
            <w:pPr>
              <w:spacing w:after="0"/>
              <w:jc w:val="center"/>
            </w:pPr>
            <w:r>
              <w:rPr>
                <w:rFonts w:ascii="Calibri" w:hAnsi="Calibri" w:eastAsia="Calibri" w:cs="Calibri"/>
                <w:b w:val="0"/>
                <w:i w:val="0"/>
                <w:color w:val="B5C2D6"/>
                <w:sz w:val="15"/>
              </w:rPr>
              <w:t>di elaborazione</w:t>
            </w:r>
          </w:p>
        </w:tc>
      </w:tr>
    </w:tbl>
    <w:p>
      <w:pPr>
        <w:spacing w:after="120" w:before="0"/>
      </w:pPr>
    </w:p>
    <w:p>
      <w:pPr>
        <w:keepNext/>
        <w:spacing w:after="40" w:before="80"/>
        <w:jc w:val="center"/>
      </w:pPr>
      <w:r>
        <w:drawing>
          <wp:inline xmlns:a="http://schemas.openxmlformats.org/drawingml/2006/main" xmlns:pic="http://schemas.openxmlformats.org/drawingml/2006/picture">
            <wp:extent cx="1800000" cy="1800000"/>
            <wp:docPr id="2" name="Picture 2"/>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800000" cy="1800000"/>
                    </a:xfrm>
                    <a:prstGeom prst="rect"/>
                  </pic:spPr>
                </pic:pic>
              </a:graphicData>
            </a:graphic>
          </wp:inline>
        </w:drawing>
      </w:r>
    </w:p>
    <w:p>
      <w:pPr>
        <w:spacing w:after="200" w:before="0"/>
        <w:jc w:val="center"/>
      </w:pPr>
      <w:r>
        <w:rPr>
          <w:rFonts w:ascii="Calibri" w:hAnsi="Calibri" w:eastAsia="Calibri" w:cs="Calibri"/>
          <w:b w:val="0"/>
          <w:i/>
          <w:color w:val="656665"/>
          <w:sz w:val="17"/>
        </w:rPr>
        <w:t>Figura 1. Esito sintetico: parametri critici su quelli calcolabili.</w:t>
      </w:r>
    </w:p>
    <w:tbl>
      <w:tblPr>
        <w:tblW w:type="dxa" w:w="9638"/>
        <w:jc w:val="center"/>
        <w:tblLayout w:type="fixed"/>
        <w:tblLook w:firstColumn="1" w:firstRow="1" w:lastColumn="0" w:lastRow="0" w:noHBand="0" w:noVBand="1" w:val="04A0"/>
      </w:tblPr>
      <w:tblGrid>
        <w:gridCol w:w="3402"/>
        <w:gridCol w:w="6236"/>
      </w:tblGrid>
      <w:tr>
        <w:trPr>
          <w:cantSplit/>
          <w:tblHeader/>
        </w:trPr>
        <w:tc>
          <w:tcPr>
            <w:tcW w:type="dxa" w:w="340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Dato</w:t>
            </w:r>
          </w:p>
        </w:tc>
        <w:tc>
          <w:tcPr>
            <w:tcW w:type="dxa" w:w="6236"/>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Valore</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catastale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E288</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Codice ISTAT</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022097</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ente (SIOPE)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011118366</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Esercizio finanziario</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2018</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Approvazione del rendiconto</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entro il 30/04/2019</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Data di elaborazione</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26/09/2026</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1A396B"/>
              <w:bottom w:val="nil"/>
              <w:right w:val="nil"/>
            </w:tcBorders>
            <w:shd w:val="clear" w:color="auto" w:fill="EEF1F6"/>
            <w:tcMar>
              <w:top w:w="110" w:type="dxa"/>
              <w:left w:w="200" w:type="dxa"/>
              <w:bottom w:w="110" w:type="dxa"/>
              <w:right w:w="160" w:type="dxa"/>
            </w:tcMar>
          </w:tcPr>
          <w:p>
            <w:pPr>
              <w:spacing w:after="60"/>
            </w:pPr>
            <w:r>
              <w:rPr>
                <w:rFonts w:ascii="Calibri" w:hAnsi="Calibri" w:eastAsia="Calibri" w:cs="Calibri"/>
                <w:b/>
                <w:i w:val="0"/>
                <w:color w:val="1A396B"/>
                <w:sz w:val="19"/>
              </w:rPr>
              <w:t>Fonti ed elaborazione</w:t>
            </w:r>
          </w:p>
          <w:p>
            <w:pPr>
              <w:spacing w:after="40"/>
              <w:jc w:val="both"/>
            </w:pPr>
            <w:r>
              <w:rPr>
                <w:rFonts w:ascii="Calibri" w:hAnsi="Calibri" w:eastAsia="Calibri" w:cs="Calibri"/>
                <w:b w:val="0"/>
                <w:i w:val="0"/>
                <w:color w:val="333333"/>
                <w:sz w:val="20"/>
              </w:rPr>
              <w:t>Documento elaborato con il supporto del cruscotto Officina Tributaria sui dati open BDAP, SIOPE, Conto Annuale RGS, ISPRA, Allegato l (art. 242 TUEL).</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1.  </w:t>
      </w:r>
      <w:r>
        <w:rPr>
          <w:rFonts w:ascii="Calibri" w:hAnsi="Calibri" w:eastAsia="Calibri" w:cs="Calibri"/>
          <w:b/>
          <w:i w:val="0"/>
          <w:color w:val="0F2246"/>
          <w:sz w:val="30"/>
        </w:rPr>
        <w:t>Premessa metodologica e fonti dati</w:t>
      </w:r>
    </w:p>
    <w:p>
      <w:pPr>
        <w:spacing w:after="120" w:before="0"/>
        <w:jc w:val="both"/>
      </w:pPr>
      <w:r>
        <w:rPr>
          <w:rFonts w:ascii="Calibri" w:hAnsi="Calibri" w:eastAsia="Calibri" w:cs="Calibri"/>
          <w:b w:val="0"/>
          <w:i w:val="0"/>
          <w:color w:val="333333"/>
          <w:sz w:val="21"/>
        </w:rPr>
        <w:t>La presente Relazione costituisce allegato al Rendiconto della gestione dell'esercizio finanziario 2018 ai sensi degli artt. 151 e 227 del D.Lgs. 18 agosto 2000 n. 267 (TUEL) e si propone di rappresentare in modo sintetico, ma analiticamente fondato, lo stato di salute finanziaria dell'ente, Comune di Imer, alla luce dei principali indicatori di rischio e dei parametri obiettivi di deficitarietà strutturale.</w:t>
      </w:r>
    </w:p>
    <w:p>
      <w:pPr>
        <w:spacing w:after="120" w:before="0"/>
        <w:jc w:val="both"/>
      </w:pPr>
      <w:r>
        <w:rPr>
          <w:rFonts w:ascii="Calibri" w:hAnsi="Calibri" w:eastAsia="Calibri" w:cs="Calibri"/>
          <w:b w:val="0"/>
          <w:i w:val="0"/>
          <w:color w:val="333333"/>
          <w:sz w:val="21"/>
        </w:rPr>
        <w:t>Il documento è articolato su sei sezioni tematiche (parametri di deficitarietà, indicatori di rischio, trend pluriennale, riscossione e gestione residui, indebitamento, criticità SezAut) e si chiude con una sintesi conclusiva firmata dal Responsabile del Servizio Finanziario. Per ciascun indicatore sono riportati la fonte dei dati, l'anno di riferimento, il valore osservato, la soglia di attenzione e l'esito.</w:t>
      </w:r>
    </w:p>
    <w:p>
      <w:pPr>
        <w:keepNext/>
        <w:spacing w:after="60" w:before="80"/>
      </w:pPr>
      <w:r>
        <w:rPr>
          <w:rFonts w:ascii="Calibri" w:hAnsi="Calibri" w:eastAsia="Calibri" w:cs="Calibri"/>
          <w:b/>
          <w:i w:val="0"/>
          <w:color w:val="0F2246"/>
          <w:sz w:val="18"/>
        </w:rPr>
        <w:t>Tabella 1. Fonti dei dati</w:t>
      </w:r>
    </w:p>
    <w:tbl>
      <w:tblPr>
        <w:tblW w:type="dxa" w:w="9638"/>
        <w:jc w:val="center"/>
        <w:tblLayout w:type="fixed"/>
        <w:tblLook w:firstColumn="1" w:firstRow="1" w:lastColumn="0" w:lastRow="0" w:noHBand="0" w:noVBand="1" w:val="04A0"/>
      </w:tblPr>
      <w:tblGrid>
        <w:gridCol w:w="2835"/>
        <w:gridCol w:w="6803"/>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Fonte dati</w:t>
            </w:r>
          </w:p>
        </w:tc>
        <w:tc>
          <w:tcPr>
            <w:tcW w:type="dxa" w:w="6803"/>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Contenuto</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BDAP</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Banca Dati Amministrazioni Pubbliche, MEF, RGS</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SIOPE</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Sistema Informativo sulle Operazioni degli Enti Pubblici, dati di cassa aggiornati</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Rendiconto armonizzato</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Schemi di bilancio ex D.Lgs. 118/2011, Allegato 4/2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Allegato l</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Ai sensi dell'art. 242 TUEL, parametri obiettivi D.M. 4 agosto 2023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Conto Annuale RGS</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Dotazione organica e spesa di personale</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Sezione Autonomie Corte dei conti</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Delibere 8/2024 e 8/2025</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2.  </w:t>
      </w:r>
      <w:r>
        <w:rPr>
          <w:rFonts w:ascii="Calibri" w:hAnsi="Calibri" w:eastAsia="Calibri" w:cs="Calibri"/>
          <w:b/>
          <w:i w:val="0"/>
          <w:color w:val="0F2246"/>
          <w:sz w:val="30"/>
        </w:rPr>
        <w:t>Quadro sintetico dell'ente</w:t>
      </w:r>
    </w:p>
    <w:tbl>
      <w:tblPr>
        <w:tblW w:type="dxa" w:w="9639"/>
        <w:jc w:val="center"/>
        <w:tblLayout w:type="fixed"/>
        <w:tblLook w:firstColumn="1" w:firstRow="1" w:lastColumn="0" w:lastRow="0" w:noHBand="0" w:noVBand="1" w:val="04A0"/>
      </w:tblPr>
      <w:tblGrid>
        <w:gridCol w:w="3213"/>
        <w:gridCol w:w="3213"/>
        <w:gridCol w:w="3213"/>
      </w:tblGrid>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1.176</w:t>
            </w:r>
          </w:p>
          <w:p>
            <w:pPr>
              <w:spacing w:after="0"/>
              <w:jc w:val="center"/>
            </w:pPr>
            <w:r>
              <w:rPr>
                <w:rFonts w:ascii="Calibri" w:hAnsi="Calibri" w:eastAsia="Calibri" w:cs="Calibri"/>
                <w:b/>
                <w:i w:val="0"/>
                <w:color w:val="E8B84A"/>
                <w:sz w:val="17"/>
              </w:rPr>
              <w:t>POPOLAZIONE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30"/>
              </w:rPr>
              <w:t>1.000-2.999</w:t>
            </w:r>
          </w:p>
          <w:p>
            <w:pPr>
              <w:spacing w:after="0"/>
              <w:jc w:val="center"/>
            </w:pPr>
            <w:r>
              <w:rPr>
                <w:rFonts w:ascii="Calibri" w:hAnsi="Calibri" w:eastAsia="Calibri" w:cs="Calibri"/>
                <w:b/>
                <w:i w:val="0"/>
                <w:color w:val="E8B84A"/>
                <w:sz w:val="17"/>
              </w:rPr>
              <w:t>FASCIA DEMOGRAFICA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10</w:t>
            </w:r>
          </w:p>
          <w:p>
            <w:pPr>
              <w:spacing w:after="0"/>
              <w:jc w:val="center"/>
            </w:pPr>
            <w:r>
              <w:rPr>
                <w:rFonts w:ascii="Calibri" w:hAnsi="Calibri" w:eastAsia="Calibri" w:cs="Calibri"/>
                <w:b/>
                <w:i w:val="0"/>
                <w:color w:val="E8B84A"/>
                <w:sz w:val="17"/>
              </w:rPr>
              <w:t>DIPENDENTI</w:t>
            </w:r>
          </w:p>
        </w:tc>
      </w:tr>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Trento</w:t>
            </w:r>
          </w:p>
          <w:p>
            <w:pPr>
              <w:spacing w:after="0"/>
              <w:jc w:val="center"/>
            </w:pPr>
            <w:r>
              <w:rPr>
                <w:rFonts w:ascii="Calibri" w:hAnsi="Calibri" w:eastAsia="Calibri" w:cs="Calibri"/>
                <w:b/>
                <w:i w:val="0"/>
                <w:color w:val="E8B84A"/>
                <w:sz w:val="17"/>
              </w:rPr>
              <w:t>PROVINCIA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24"/>
              </w:rPr>
              <w:t>Trentino-Alto Adige</w:t>
            </w:r>
          </w:p>
          <w:p>
            <w:pPr>
              <w:spacing w:after="0"/>
              <w:jc w:val="center"/>
            </w:pPr>
            <w:r>
              <w:rPr>
                <w:rFonts w:ascii="Calibri" w:hAnsi="Calibri" w:eastAsia="Calibri" w:cs="Calibri"/>
                <w:b/>
                <w:i w:val="0"/>
                <w:color w:val="E8B84A"/>
                <w:sz w:val="17"/>
              </w:rPr>
              <w:t>REGIONE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E288</w:t>
            </w:r>
          </w:p>
          <w:p>
            <w:pPr>
              <w:spacing w:after="0"/>
              <w:jc w:val="center"/>
            </w:pPr>
            <w:r>
              <w:rPr>
                <w:rFonts w:ascii="Calibri" w:hAnsi="Calibri" w:eastAsia="Calibri" w:cs="Calibri"/>
                <w:b/>
                <w:i w:val="0"/>
                <w:color w:val="E8B84A"/>
                <w:sz w:val="17"/>
              </w:rPr>
              <w:t>CODICE CATASTALE</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Stato finanziario</w:t>
            </w:r>
          </w:p>
          <w:p>
            <w:pPr>
              <w:spacing w:after="40"/>
              <w:jc w:val="both"/>
            </w:pPr>
            <w:r>
              <w:rPr>
                <w:rFonts w:ascii="Calibri" w:hAnsi="Calibri" w:eastAsia="Calibri" w:cs="Calibri"/>
                <w:b w:val="0"/>
                <w:i w:val="0"/>
                <w:color w:val="333333"/>
                <w:sz w:val="20"/>
              </w:rPr>
              <w:t>L'ente non risulta in dissesto né ha attivato procedure di riequilibrio finanziario pluriennale ai sensi dell'art. 243 bis TUEL.</w:t>
            </w:r>
          </w:p>
        </w:tc>
      </w:tr>
    </w:tbl>
    <w:p>
      <w:pPr>
        <w:spacing w:after="80" w:before="0"/>
      </w:pPr>
    </w:p>
    <w:p>
      <w:pPr>
        <w:pStyle w:val="Heading1"/>
        <w:pBdr>
          <w:bottom w:val="single" w:sz="8" w:space="4" w:color="C7951E"/>
        </w:pBdr>
      </w:pPr>
      <w:r>
        <w:rPr>
          <w:rFonts w:ascii="Calibri" w:hAnsi="Calibri" w:eastAsia="Calibri" w:cs="Calibri"/>
          <w:b/>
          <w:i w:val="0"/>
          <w:color w:val="C7951E"/>
          <w:sz w:val="30"/>
        </w:rPr>
        <w:t xml:space="preserve">3.  </w:t>
      </w:r>
      <w:r>
        <w:rPr>
          <w:rFonts w:ascii="Calibri" w:hAnsi="Calibri" w:eastAsia="Calibri" w:cs="Calibri"/>
          <w:b/>
          <w:i w:val="0"/>
          <w:color w:val="0F2246"/>
          <w:sz w:val="30"/>
        </w:rPr>
        <w:t>Cruscotto sintetico, indicatori chiave</w:t>
      </w:r>
    </w:p>
    <w:p>
      <w:pPr>
        <w:spacing w:after="160" w:before="0"/>
        <w:jc w:val="both"/>
      </w:pPr>
      <w:r>
        <w:rPr>
          <w:rFonts w:ascii="Calibri" w:hAnsi="Calibri" w:eastAsia="Calibri" w:cs="Calibri"/>
          <w:b w:val="0"/>
          <w:i/>
          <w:color w:val="656665"/>
          <w:sz w:val="19"/>
        </w:rPr>
        <w:t>Quattro indicatori di sintesi, con il trend degli esercizi chiusi e il confronto con la soglia ministeriale, forniscono il colpo d'occhio sullo stato di salute dell'ente.</w:t>
      </w:r>
    </w:p>
    <w:tbl>
      <w:tblPr>
        <w:tblW w:type="dxa" w:w="9638"/>
        <w:jc w:val="center"/>
        <w:tblLayout w:type="fixed"/>
        <w:tblLook w:firstColumn="1" w:firstRow="1" w:lastColumn="0" w:lastRow="0" w:noHBand="0" w:noVBand="1" w:val="04A0"/>
      </w:tblPr>
      <w:tblGrid>
        <w:gridCol w:w="4819"/>
        <w:gridCol w:w="4819"/>
      </w:tblGrid>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AUTONOMIA FINANZIARIA</w:t>
            </w:r>
          </w:p>
          <w:p>
            <w:pPr>
              <w:spacing w:after="20"/>
              <w:jc w:val="center"/>
            </w:pPr>
            <w:r>
              <w:drawing>
                <wp:inline xmlns:a="http://schemas.openxmlformats.org/drawingml/2006/main" xmlns:pic="http://schemas.openxmlformats.org/drawingml/2006/picture">
                  <wp:extent cx="2880000" cy="1309530"/>
                  <wp:docPr id="3" name="Picture 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C4453F"/>
                <w:sz w:val="17"/>
              </w:rPr>
              <w:t>In peggioramento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RIGIDITÀ STRUTTURALE</w:t>
            </w:r>
          </w:p>
          <w:p>
            <w:pPr>
              <w:spacing w:after="20"/>
              <w:jc w:val="center"/>
            </w:pPr>
            <w:r>
              <w:drawing>
                <wp:inline xmlns:a="http://schemas.openxmlformats.org/drawingml/2006/main" xmlns:pic="http://schemas.openxmlformats.org/drawingml/2006/picture">
                  <wp:extent cx="2880000" cy="1309530"/>
                  <wp:docPr id="4" name="Picture 4"/>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2E7D52"/>
                <w:sz w:val="17"/>
              </w:rPr>
              <w:t>In miglioramento</w:t>
            </w:r>
          </w:p>
        </w:tc>
      </w:tr>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RISCOSSIONE TRIBUTARIE</w:t>
            </w:r>
          </w:p>
          <w:p>
            <w:pPr>
              <w:spacing w:after="20"/>
              <w:jc w:val="center"/>
            </w:pPr>
            <w:r>
              <w:drawing>
                <wp:inline xmlns:a="http://schemas.openxmlformats.org/drawingml/2006/main" xmlns:pic="http://schemas.openxmlformats.org/drawingml/2006/picture">
                  <wp:extent cx="2880000" cy="1309530"/>
                  <wp:docPr id="5" name="Picture 5"/>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2E7D52"/>
                <w:sz w:val="17"/>
              </w:rPr>
              <w:t>In miglioramento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SPESA PERSONALE / ENTRATE</w:t>
            </w:r>
          </w:p>
          <w:p>
            <w:pPr>
              <w:spacing w:after="20"/>
              <w:jc w:val="center"/>
            </w:pPr>
            <w:r>
              <w:drawing>
                <wp:inline xmlns:a="http://schemas.openxmlformats.org/drawingml/2006/main" xmlns:pic="http://schemas.openxmlformats.org/drawingml/2006/picture">
                  <wp:extent cx="2880000" cy="1309530"/>
                  <wp:docPr id="6" name="Picture 6"/>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2E7D52"/>
                <w:sz w:val="17"/>
              </w:rPr>
              <w:t>In miglioramento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complessivo: OTTIMO</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4.  </w:t>
      </w:r>
      <w:r>
        <w:rPr>
          <w:rFonts w:ascii="Calibri" w:hAnsi="Calibri" w:eastAsia="Calibri" w:cs="Calibri"/>
          <w:b/>
          <w:i w:val="0"/>
          <w:color w:val="0F2246"/>
          <w:sz w:val="30"/>
        </w:rPr>
        <w:t>Sezione A, parametri di deficitarietà strutturale</w:t>
      </w:r>
    </w:p>
    <w:p>
      <w:pPr>
        <w:spacing w:after="160" w:before="0"/>
        <w:jc w:val="both"/>
      </w:pPr>
      <w:r>
        <w:rPr>
          <w:rFonts w:ascii="Calibri" w:hAnsi="Calibri" w:eastAsia="Calibri" w:cs="Calibri"/>
          <w:b w:val="0"/>
          <w:i/>
          <w:color w:val="656665"/>
          <w:sz w:val="19"/>
        </w:rPr>
        <w:t>I parametri obiettivi di cui al D.M. 4 agosto 2023 (in attuazione dell'art. 242 TUEL) costituiscono il presidio principale per l'individuazione degli enti strutturalmente deficitari. Un ente è classificato deficitario quando supera almeno 5 dei 10 parametri.</w:t>
      </w:r>
    </w:p>
    <w:p>
      <w:pPr>
        <w:keepNext/>
        <w:spacing w:after="40" w:before="80"/>
        <w:jc w:val="center"/>
      </w:pPr>
      <w:r>
        <w:drawing>
          <wp:inline xmlns:a="http://schemas.openxmlformats.org/drawingml/2006/main" xmlns:pic="http://schemas.openxmlformats.org/drawingml/2006/picture">
            <wp:extent cx="4320000" cy="4064665"/>
            <wp:docPr id="7" name="Picture 7"/>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4320000" cy="4064665"/>
                    </a:xfrm>
                    <a:prstGeom prst="rect"/>
                  </pic:spPr>
                </pic:pic>
              </a:graphicData>
            </a:graphic>
          </wp:inline>
        </w:drawing>
      </w:r>
    </w:p>
    <w:p>
      <w:pPr>
        <w:spacing w:after="200" w:before="0"/>
        <w:jc w:val="center"/>
      </w:pPr>
      <w:r>
        <w:rPr>
          <w:rFonts w:ascii="Calibri" w:hAnsi="Calibri" w:eastAsia="Calibri" w:cs="Calibri"/>
          <w:b w:val="0"/>
          <w:i/>
          <w:color w:val="656665"/>
          <w:sz w:val="17"/>
        </w:rPr>
        <w:t>Figura 2. Sintesi grafica dei 10 parametri obiettivi. I punti rossi indicano parametri critici (oltre soglia). La linea tratteggiata rappresenta la soglia ministeriale.</w:t>
      </w:r>
    </w:p>
    <w:p>
      <w:pPr>
        <w:keepNext/>
        <w:spacing w:after="60" w:before="80"/>
      </w:pPr>
      <w:r>
        <w:rPr>
          <w:rFonts w:ascii="Calibri" w:hAnsi="Calibri" w:eastAsia="Calibri" w:cs="Calibri"/>
          <w:b/>
          <w:i w:val="0"/>
          <w:color w:val="0F2246"/>
          <w:sz w:val="18"/>
        </w:rPr>
        <w:t>Tabella 2. Parametri obiettivi, esercizio 2018</w:t>
      </w:r>
    </w:p>
    <w:tbl>
      <w:tblPr>
        <w:tblW w:type="dxa" w:w="9638"/>
        <w:jc w:val="center"/>
        <w:tblLayout w:type="fixed"/>
        <w:tblLook w:firstColumn="1" w:firstRow="1" w:lastColumn="0" w:lastRow="0" w:noHBand="0" w:noVBand="1" w:val="04A0"/>
      </w:tblPr>
      <w:tblGrid>
        <w:gridCol w:w="680"/>
        <w:gridCol w:w="2835"/>
        <w:gridCol w:w="1247"/>
        <w:gridCol w:w="1077"/>
        <w:gridCol w:w="1191"/>
        <w:gridCol w:w="2608"/>
      </w:tblGrid>
      <w:tr>
        <w:trPr>
          <w:cantSplit/>
          <w:tblHeader/>
        </w:trPr>
        <w:tc>
          <w:tcPr>
            <w:tcW w:type="dxa" w:w="680"/>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Cod.</w:t>
            </w:r>
          </w:p>
        </w:tc>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Parametro</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Valore</w:t>
            </w:r>
          </w:p>
        </w:tc>
        <w:tc>
          <w:tcPr>
            <w:tcW w:type="dxa" w:w="107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Soglia</w:t>
            </w:r>
          </w:p>
        </w:tc>
        <w:tc>
          <w:tcPr>
            <w:tcW w:type="dxa" w:w="1191"/>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c>
          <w:tcPr>
            <w:tcW w:type="dxa" w:w="260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Nota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P1</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Rigidità spesa corrente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10,60 %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60%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SIOPE (proxy: spesa personale + interessi / entrate totali)</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P2</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Riscossione entrate proprie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98,20 %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(riscossione competenza Tit.1 / accertamento)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P3</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Anticipazioni chiuse contabilmente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Anticipazioni di tesoreria chiuse solo contabilmente - dato non disponibile in fonti open data</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P4</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debiti finanziari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0,00 %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SIOPE (interessi passivi / entrate di cassa)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P5</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disavanzo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0,00 %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1,20%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(Allegato a - Risultato di Amministrazione)</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P6</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Debiti riconosciuti e finanziati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Debiti fuori bilancio riconosciuti / entrate correnti - dato specifico non disponibile in fonti open data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P7</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Debiti in corso di riconoscimento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0,60%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Debiti in riconoscimento / entrate correnti - dato specifico non disponibile in fonti open data</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P8</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Capacità di riscossione totale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97,40 %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54%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P9</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Residui attivi nuova formazione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32,90 %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42%</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 Tit. I, II, III</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P10</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Smaltimento residui attivi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65%</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Dato non calcolabile da open data BDAP - richiede residui attivi iniziali da rendiconto dettagliato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Sezione A</w:t>
            </w:r>
          </w:p>
          <w:p>
            <w:pPr>
              <w:spacing w:after="40"/>
              <w:jc w:val="both"/>
            </w:pPr>
            <w:r>
              <w:rPr>
                <w:rFonts w:ascii="Calibri" w:hAnsi="Calibri" w:eastAsia="Calibri" w:cs="Calibri"/>
                <w:b w:val="0"/>
                <w:i w:val="0"/>
                <w:color w:val="333333"/>
                <w:sz w:val="20"/>
              </w:rPr>
              <w:t xml:space="preserve">Su 6 parametri calcolabili, 0 risultano critici. </w:t>
            </w:r>
            <w:r>
              <w:rPr>
                <w:rFonts w:ascii="Calibri" w:hAnsi="Calibri" w:eastAsia="Calibri" w:cs="Calibri"/>
                <w:b w:val="0"/>
                <w:i w:val="0"/>
                <w:color w:val="333333"/>
                <w:sz w:val="20"/>
              </w:rPr>
              <w:t xml:space="preserve">L'Ente </w:t>
            </w:r>
            <w:r>
              <w:rPr>
                <w:rFonts w:ascii="Calibri" w:hAnsi="Calibri" w:eastAsia="Calibri" w:cs="Calibri"/>
                <w:b/>
                <w:i w:val="0"/>
                <w:color w:val="333333"/>
                <w:sz w:val="20"/>
              </w:rPr>
              <w:t>NON</w:t>
            </w:r>
            <w:r>
              <w:rPr>
                <w:rFonts w:ascii="Calibri" w:hAnsi="Calibri" w:eastAsia="Calibri" w:cs="Calibri"/>
                <w:b w:val="0"/>
                <w:i w:val="0"/>
                <w:color w:val="333333"/>
                <w:sz w:val="20"/>
              </w:rPr>
              <w:t xml:space="preserve"> si trova in condizioni strutturalmente deficitarie ai sensi dell'art. 242 TUEL e del D.M. 4 agosto 2023.</w:t>
            </w:r>
          </w:p>
        </w:tc>
      </w:tr>
    </w:tbl>
    <w:p>
      <w:pPr>
        <w:spacing w:after="80" w:before="0"/>
      </w:pPr>
    </w:p>
    <w:p>
      <w:pPr>
        <w:pStyle w:val="Heading2"/>
      </w:pPr>
      <w:r>
        <w:rPr>
          <w:rFonts w:ascii="Calibri" w:hAnsi="Calibri" w:eastAsia="Calibri" w:cs="Calibri"/>
          <w:b/>
          <w:i w:val="0"/>
          <w:color w:val="1A396B"/>
          <w:sz w:val="24"/>
        </w:rPr>
        <w:t>4.1  Trend dei parametri nel quinquennio</w:t>
      </w:r>
    </w:p>
    <w:p>
      <w:pPr>
        <w:spacing w:after="160" w:before="0"/>
        <w:jc w:val="both"/>
      </w:pPr>
      <w:r>
        <w:rPr>
          <w:rFonts w:ascii="Calibri" w:hAnsi="Calibri" w:eastAsia="Calibri" w:cs="Calibri"/>
          <w:b w:val="0"/>
          <w:i/>
          <w:color w:val="656665"/>
          <w:sz w:val="19"/>
        </w:rPr>
        <w:t>La matrice mostra l'esito di ciascun parametro anno per anno. Il verde indica il rispetto della soglia, il rosso il superamento. La progressione orizzontale evidenzia i miglioramenti o i peggioramenti registrati dall'ente.</w:t>
      </w:r>
    </w:p>
    <w:p>
      <w:pPr>
        <w:spacing w:after="40" w:before="80"/>
        <w:jc w:val="center"/>
      </w:pPr>
      <w:r>
        <w:drawing>
          <wp:inline xmlns:a="http://schemas.openxmlformats.org/drawingml/2006/main" xmlns:pic="http://schemas.openxmlformats.org/drawingml/2006/picture">
            <wp:extent cx="5940000" cy="4212686"/>
            <wp:docPr id="8" name="Picture 8"/>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5940000" cy="4212686"/>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5.  </w:t>
      </w:r>
      <w:r>
        <w:rPr>
          <w:rFonts w:ascii="Calibri" w:hAnsi="Calibri" w:eastAsia="Calibri" w:cs="Calibri"/>
          <w:b/>
          <w:i w:val="0"/>
          <w:color w:val="0F2246"/>
          <w:sz w:val="30"/>
        </w:rPr>
        <w:t>Sezione B, indicatori di rischio finanziario</w:t>
      </w:r>
    </w:p>
    <w:p>
      <w:pPr>
        <w:spacing w:after="160" w:before="0"/>
        <w:jc w:val="both"/>
      </w:pPr>
      <w:r>
        <w:rPr>
          <w:rFonts w:ascii="Calibri" w:hAnsi="Calibri" w:eastAsia="Calibri" w:cs="Calibri"/>
          <w:b w:val="0"/>
          <w:i/>
          <w:color w:val="656665"/>
          <w:sz w:val="19"/>
        </w:rPr>
        <w:t>La mappa del rischio integra i parametri di deficitarietà con un panel di indicatori sentinella tarati sul confronto con la fascia demografica omologa e con la mediana degli enti dissestati. Il motore di calcolo restituisce un livello (basso, medio, alto) per ciascun indicatore.</w:t>
      </w:r>
    </w:p>
    <w:p>
      <w:pPr>
        <w:keepNext/>
        <w:spacing w:after="40" w:before="80"/>
        <w:jc w:val="center"/>
      </w:pPr>
      <w:r>
        <w:drawing>
          <wp:inline xmlns:a="http://schemas.openxmlformats.org/drawingml/2006/main" xmlns:pic="http://schemas.openxmlformats.org/drawingml/2006/picture">
            <wp:extent cx="5940000" cy="3976395"/>
            <wp:docPr id="9" name="Picture 9"/>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5940000" cy="3976395"/>
                    </a:xfrm>
                    <a:prstGeom prst="rect"/>
                  </pic:spPr>
                </pic:pic>
              </a:graphicData>
            </a:graphic>
          </wp:inline>
        </w:drawing>
      </w:r>
    </w:p>
    <w:p>
      <w:pPr>
        <w:spacing w:after="200" w:before="0"/>
        <w:jc w:val="center"/>
      </w:pPr>
      <w:r>
        <w:rPr>
          <w:rFonts w:ascii="Calibri" w:hAnsi="Calibri" w:eastAsia="Calibri" w:cs="Calibri"/>
          <w:b w:val="0"/>
          <w:i/>
          <w:color w:val="656665"/>
          <w:sz w:val="17"/>
        </w:rPr>
        <w:t>Figura 3. Semaforo per ciascun indicatore. Verde basso, giallo medio, rosso alto.</w:t>
      </w:r>
    </w:p>
    <w:p>
      <w:pPr>
        <w:keepNext/>
        <w:spacing w:after="60" w:before="80"/>
      </w:pPr>
      <w:r>
        <w:rPr>
          <w:rFonts w:ascii="Calibri" w:hAnsi="Calibri" w:eastAsia="Calibri" w:cs="Calibri"/>
          <w:b/>
          <w:i w:val="0"/>
          <w:color w:val="0F2246"/>
          <w:sz w:val="18"/>
        </w:rPr>
        <w:t>Tabella 3. Indicatori di rischio, esercizio 2018</w:t>
      </w:r>
    </w:p>
    <w:tbl>
      <w:tblPr>
        <w:tblW w:type="dxa" w:w="9638"/>
        <w:jc w:val="center"/>
        <w:tblLayout w:type="fixed"/>
        <w:tblLook w:firstColumn="1" w:firstRow="1" w:lastColumn="0" w:lastRow="0" w:noHBand="0" w:noVBand="1" w:val="04A0"/>
      </w:tblPr>
      <w:tblGrid>
        <w:gridCol w:w="2948"/>
        <w:gridCol w:w="907"/>
        <w:gridCol w:w="1191"/>
        <w:gridCol w:w="1134"/>
        <w:gridCol w:w="1134"/>
        <w:gridCol w:w="1020"/>
        <w:gridCol w:w="1304"/>
      </w:tblGrid>
      <w:tr>
        <w:trPr>
          <w:cantSplit/>
          <w:tblHeader/>
        </w:trPr>
        <w:tc>
          <w:tcPr>
            <w:tcW w:type="dxa" w:w="294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Indicatore</w:t>
            </w:r>
          </w:p>
        </w:tc>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Fonte</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Valore ente</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Mediana fascia</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 dissestati</w:t>
            </w:r>
          </w:p>
        </w:tc>
        <w:tc>
          <w:tcPr>
            <w:tcW w:type="dxa" w:w="1020"/>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Livello</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Esito</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Entrate pro-capite</w:t>
            </w:r>
          </w:p>
          <w:p>
            <w:pPr>
              <w:spacing w:after="0"/>
              <w:jc w:val="left"/>
            </w:pPr>
            <w:r>
              <w:rPr>
                <w:rFonts w:ascii="Calibri" w:hAnsi="Calibri" w:eastAsia="Calibri" w:cs="Calibri"/>
                <w:b w:val="0"/>
                <w:i w:val="0"/>
                <w:color w:val="656665"/>
                <w:sz w:val="14"/>
              </w:rPr>
              <w:t>Totale entrate di cassa per abitante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3.432,0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1.433,0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2.245,0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Autonomia finanziaria</w:t>
            </w:r>
          </w:p>
          <w:p>
            <w:pPr>
              <w:spacing w:after="0"/>
              <w:jc w:val="left"/>
            </w:pPr>
            <w:r>
              <w:rPr>
                <w:rFonts w:ascii="Calibri" w:hAnsi="Calibri" w:eastAsia="Calibri" w:cs="Calibri"/>
                <w:b w:val="0"/>
                <w:i w:val="0"/>
                <w:color w:val="656665"/>
                <w:sz w:val="14"/>
              </w:rPr>
              <w:t>% entrate proprie (tributarie + extratributarie) su totale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9,3</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43,0</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24,3</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Rigidità strutturale</w:t>
            </w:r>
          </w:p>
          <w:p>
            <w:pPr>
              <w:spacing w:after="0"/>
              <w:jc w:val="left"/>
            </w:pPr>
            <w:r>
              <w:rPr>
                <w:rFonts w:ascii="Calibri" w:hAnsi="Calibri" w:eastAsia="Calibri" w:cs="Calibri"/>
                <w:b w:val="0"/>
                <w:i w:val="0"/>
                <w:color w:val="656665"/>
                <w:sz w:val="14"/>
              </w:rPr>
              <w:t>% spese rigide (personale + debito) su entrate correnti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10,6</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16,9</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14,2</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Tributarie</w:t>
            </w:r>
          </w:p>
          <w:p>
            <w:pPr>
              <w:spacing w:after="0"/>
              <w:jc w:val="left"/>
            </w:pPr>
            <w:r>
              <w:rPr>
                <w:rFonts w:ascii="Calibri" w:hAnsi="Calibri" w:eastAsia="Calibri" w:cs="Calibri"/>
                <w:b w:val="0"/>
                <w:i w:val="0"/>
                <w:color w:val="656665"/>
                <w:sz w:val="14"/>
              </w:rPr>
              <w:t>% riscosso su accertato per entrate Titolo I (tributarie)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107,9</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85,9</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71,0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Extratributarie</w:t>
            </w:r>
          </w:p>
          <w:p>
            <w:pPr>
              <w:spacing w:after="0"/>
              <w:jc w:val="left"/>
            </w:pPr>
            <w:r>
              <w:rPr>
                <w:rFonts w:ascii="Calibri" w:hAnsi="Calibri" w:eastAsia="Calibri" w:cs="Calibri"/>
                <w:b w:val="0"/>
                <w:i w:val="0"/>
                <w:color w:val="656665"/>
                <w:sz w:val="14"/>
              </w:rPr>
              <w:t>% riscosso su accertato per entrate Titolo III (sanzioni CdS, permessi a costruire, canoni)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101,9</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68,8</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46,4</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Incidenza Beni e Servizi</w:t>
            </w:r>
          </w:p>
          <w:p>
            <w:pPr>
              <w:spacing w:after="0"/>
              <w:jc w:val="left"/>
            </w:pPr>
            <w:r>
              <w:rPr>
                <w:rFonts w:ascii="Calibri" w:hAnsi="Calibri" w:eastAsia="Calibri" w:cs="Calibri"/>
                <w:b w:val="0"/>
                <w:i w:val="0"/>
                <w:color w:val="656665"/>
                <w:sz w:val="14"/>
              </w:rPr>
              <w:t>% spesa per beni e servizi su totale uscite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12,8</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28,9</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20,1</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Incidenza Spesa Personale</w:t>
            </w:r>
          </w:p>
          <w:p>
            <w:pPr>
              <w:spacing w:after="0"/>
              <w:jc w:val="left"/>
            </w:pPr>
            <w:r>
              <w:rPr>
                <w:rFonts w:ascii="Calibri" w:hAnsi="Calibri" w:eastAsia="Calibri" w:cs="Calibri"/>
                <w:b w:val="0"/>
                <w:i w:val="0"/>
                <w:color w:val="656665"/>
                <w:sz w:val="14"/>
              </w:rPr>
              <w:t>% spesa personale su totale uscite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10,4</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16,0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11,6</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Dipendenti per 1000 abitanti</w:t>
            </w:r>
          </w:p>
          <w:p>
            <w:pPr>
              <w:spacing w:after="0"/>
              <w:jc w:val="left"/>
            </w:pPr>
            <w:r>
              <w:rPr>
                <w:rFonts w:ascii="Calibri" w:hAnsi="Calibri" w:eastAsia="Calibri" w:cs="Calibri"/>
                <w:b w:val="0"/>
                <w:i w:val="0"/>
                <w:color w:val="656665"/>
                <w:sz w:val="14"/>
              </w:rPr>
              <w:t>Numero dipendenti comunali ogni 1000 residenti</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Conto Annuale RGS</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8,5</w:t>
            </w:r>
          </w:p>
          <w:p>
            <w:pPr>
              <w:spacing w:after="0"/>
              <w:jc w:val="right"/>
            </w:pPr>
            <w:r>
              <w:rPr>
                <w:rFonts w:ascii="Calibri" w:hAnsi="Calibri" w:eastAsia="Calibri" w:cs="Calibri"/>
                <w:b w:val="0"/>
                <w:i w:val="0"/>
                <w:color w:val="656665"/>
                <w:sz w:val="14"/>
              </w:rPr>
              <w:t>dip/1000ab</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4,9</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Raccolta Differenziata</w:t>
            </w:r>
          </w:p>
          <w:p>
            <w:pPr>
              <w:spacing w:after="0"/>
              <w:jc w:val="left"/>
            </w:pPr>
            <w:r>
              <w:rPr>
                <w:rFonts w:ascii="Calibri" w:hAnsi="Calibri" w:eastAsia="Calibri" w:cs="Calibri"/>
                <w:b w:val="0"/>
                <w:i w:val="0"/>
                <w:color w:val="656665"/>
                <w:sz w:val="14"/>
              </w:rPr>
              <w:t>% rifiuti raccolti in modo differenziato</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ISPRA</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80,5</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73,3</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Tributi</w:t>
            </w:r>
          </w:p>
          <w:p>
            <w:pPr>
              <w:spacing w:after="0"/>
              <w:jc w:val="left"/>
            </w:pPr>
            <w:r>
              <w:rPr>
                <w:rFonts w:ascii="Calibri" w:hAnsi="Calibri" w:eastAsia="Calibri" w:cs="Calibri"/>
                <w:b w:val="0"/>
                <w:i w:val="0"/>
                <w:color w:val="656665"/>
                <w:sz w:val="14"/>
              </w:rPr>
              <w:t>% fondo accantonato FCDE su vecchi crediti tributari (Allegato c)</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53,5</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41,5</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Globale</w:t>
            </w:r>
          </w:p>
          <w:p>
            <w:pPr>
              <w:spacing w:after="0"/>
              <w:jc w:val="left"/>
            </w:pPr>
            <w:r>
              <w:rPr>
                <w:rFonts w:ascii="Calibri" w:hAnsi="Calibri" w:eastAsia="Calibri" w:cs="Calibri"/>
                <w:b w:val="0"/>
                <w:i w:val="0"/>
                <w:color w:val="656665"/>
                <w:sz w:val="14"/>
              </w:rPr>
              <w:t>% fondo FCDE su vecchi crediti a rischio insoluto (tributi + extratributarie)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17,6</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33,3</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Margine Corrente</w:t>
            </w:r>
          </w:p>
          <w:p>
            <w:pPr>
              <w:spacing w:after="0"/>
              <w:jc w:val="left"/>
            </w:pPr>
            <w:r>
              <w:rPr>
                <w:rFonts w:ascii="Calibri" w:hAnsi="Calibri" w:eastAsia="Calibri" w:cs="Calibri"/>
                <w:b w:val="0"/>
                <w:i w:val="0"/>
                <w:color w:val="656665"/>
                <w:sz w:val="14"/>
              </w:rPr>
              <w:t>% margine tra entrate correnti e spese correnti (rendiconto)</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12,7</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11,7</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Capacità di Pagamento</w:t>
            </w:r>
          </w:p>
          <w:p>
            <w:pPr>
              <w:spacing w:after="0"/>
              <w:jc w:val="left"/>
            </w:pPr>
            <w:r>
              <w:rPr>
                <w:rFonts w:ascii="Calibri" w:hAnsi="Calibri" w:eastAsia="Calibri" w:cs="Calibri"/>
                <w:b w:val="0"/>
                <w:i w:val="0"/>
                <w:color w:val="656665"/>
                <w:sz w:val="14"/>
              </w:rPr>
              <w:t>% pagato (CC+CR) su impegnato per spesa corrente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96,6</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79,4</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Residuo IMU/ICI/TASI non riscosso</w:t>
            </w:r>
          </w:p>
          <w:p>
            <w:pPr>
              <w:spacing w:after="0"/>
              <w:jc w:val="left"/>
            </w:pPr>
            <w:r>
              <w:rPr>
                <w:rFonts w:ascii="Calibri" w:hAnsi="Calibri" w:eastAsia="Calibri" w:cs="Calibri"/>
                <w:b w:val="0"/>
                <w:i w:val="0"/>
                <w:color w:val="656665"/>
                <w:sz w:val="14"/>
              </w:rPr>
              <w:t>% dell'esercizio non riscossa in competenza per IMU, ICI e TASI (Allegato d, cat. 06+08+76)</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d)</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1,7</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Risultato Amministrazione pro-capite</w:t>
            </w:r>
          </w:p>
          <w:p>
            <w:pPr>
              <w:spacing w:after="0"/>
              <w:jc w:val="left"/>
            </w:pPr>
            <w:r>
              <w:rPr>
                <w:rFonts w:ascii="Calibri" w:hAnsi="Calibri" w:eastAsia="Calibri" w:cs="Calibri"/>
                <w:b w:val="0"/>
                <w:i w:val="0"/>
                <w:color w:val="656665"/>
                <w:sz w:val="14"/>
              </w:rPr>
              <w:t>Avanzo/Disavanzo di amministrazione per abitante (Allegato a)</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387,0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Disavanzo / Entrate correnti</w:t>
            </w:r>
          </w:p>
          <w:p>
            <w:pPr>
              <w:spacing w:after="0"/>
              <w:jc w:val="left"/>
            </w:pPr>
            <w:r>
              <w:rPr>
                <w:rFonts w:ascii="Calibri" w:hAnsi="Calibri" w:eastAsia="Calibri" w:cs="Calibri"/>
                <w:b w:val="0"/>
                <w:i w:val="0"/>
                <w:color w:val="656665"/>
                <w:sz w:val="14"/>
              </w:rPr>
              <w:t>Il comune non presenta disavanzo di amministrazione.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6.  </w:t>
      </w:r>
      <w:r>
        <w:rPr>
          <w:rFonts w:ascii="Calibri" w:hAnsi="Calibri" w:eastAsia="Calibri" w:cs="Calibri"/>
          <w:b/>
          <w:i w:val="0"/>
          <w:color w:val="0F2246"/>
          <w:sz w:val="30"/>
        </w:rPr>
        <w:t>Sezione C, trend pluriennale e miglioramento annuale</w:t>
      </w:r>
    </w:p>
    <w:p>
      <w:pPr>
        <w:spacing w:after="160" w:before="0"/>
        <w:jc w:val="both"/>
      </w:pPr>
      <w:r>
        <w:rPr>
          <w:rFonts w:ascii="Calibri" w:hAnsi="Calibri" w:eastAsia="Calibri" w:cs="Calibri"/>
          <w:b w:val="0"/>
          <w:i/>
          <w:color w:val="656665"/>
          <w:sz w:val="19"/>
        </w:rPr>
        <w:t>La rappresentazione a piccoli multipli evidenzia la traiettoria pluriennale di ciascun indicatore chiave, fino all'ultimo esercizio chiuso. La banda verde rappresenta la mediana della fascia demografica omologa. Per ogni indicatore è indicato il delta percentuale rispetto all'esercizio precedente.</w:t>
      </w:r>
    </w:p>
    <w:p>
      <w:pPr>
        <w:spacing w:after="40" w:before="80"/>
        <w:jc w:val="center"/>
      </w:pPr>
      <w:r>
        <w:drawing>
          <wp:inline xmlns:a="http://schemas.openxmlformats.org/drawingml/2006/main" xmlns:pic="http://schemas.openxmlformats.org/drawingml/2006/picture">
            <wp:extent cx="6120000" cy="2768123"/>
            <wp:docPr id="10" name="Picture 10"/>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6120000" cy="2768123"/>
                    </a:xfrm>
                    <a:prstGeom prst="rect"/>
                  </pic:spPr>
                </pic:pic>
              </a:graphicData>
            </a:graphic>
          </wp:inline>
        </w:drawing>
      </w:r>
    </w:p>
    <w:p>
      <w:pPr>
        <w:spacing w:after="120" w:before="0"/>
      </w:pPr>
    </w:p>
    <w:p>
      <w:pPr>
        <w:pStyle w:val="Heading2"/>
      </w:pPr>
      <w:r>
        <w:rPr>
          <w:rFonts w:ascii="Calibri" w:hAnsi="Calibri" w:eastAsia="Calibri" w:cs="Calibri"/>
          <w:b/>
          <w:i w:val="0"/>
          <w:color w:val="1A396B"/>
          <w:sz w:val="24"/>
        </w:rPr>
        <w:t>6.1  Sintesi dei miglioramenti annuali</w:t>
      </w:r>
    </w:p>
    <w:tbl>
      <w:tblPr>
        <w:tblW w:type="dxa" w:w="9638"/>
        <w:jc w:val="center"/>
        <w:tblLayout w:type="fixed"/>
        <w:tblLook w:firstColumn="1" w:firstRow="1" w:lastColumn="0" w:lastRow="0" w:noHBand="0" w:noVBand="1" w:val="04A0"/>
      </w:tblPr>
      <w:tblGrid>
        <w:gridCol w:w="3175"/>
        <w:gridCol w:w="1304"/>
        <w:gridCol w:w="1247"/>
        <w:gridCol w:w="1247"/>
        <w:gridCol w:w="1191"/>
        <w:gridCol w:w="1474"/>
      </w:tblGrid>
      <w:tr>
        <w:trPr>
          <w:cantSplit/>
          <w:tblHeader/>
        </w:trPr>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Indicatore</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Esercizi</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Precedente</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Ultimo</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Variazione</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Direzione</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pro-capite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2017 e 2018</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2.252,0</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3.432,0</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+52,4%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Uscite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2017 e 2018</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2.217,0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3.503,0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+58,0%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Autonomia finanziaria</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2017 e 2018</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13,1</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9,3</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-29,0%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Rigidità strutturale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2017 e 2018</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17,0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10,6</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-37,6%</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Spesa personale / Entrate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2017 e 2018</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17,0</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10,6</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-37,6%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Tit.1 (tributarie)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2017 e 2018</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94,6</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107,9</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+14,1%</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Tit.3 (extratrib.)</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2017 e 2018</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90,6</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101,9</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+12,5%</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Pressione tributaria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2017 e 2018</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295,0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319,0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+8,1%</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bl>
    <w:p>
      <w:pPr>
        <w:spacing w:after="120" w:before="0"/>
      </w:pPr>
    </w:p>
    <w:p>
      <w:pPr>
        <w:pStyle w:val="Heading2"/>
      </w:pPr>
      <w:r>
        <w:rPr>
          <w:rFonts w:ascii="Calibri" w:hAnsi="Calibri" w:eastAsia="Calibri" w:cs="Calibri"/>
          <w:b/>
          <w:i w:val="0"/>
          <w:color w:val="1A396B"/>
          <w:sz w:val="24"/>
        </w:rPr>
        <w:t>6.2  Confronto con la fascia demografica omologa</w:t>
      </w:r>
    </w:p>
    <w:p>
      <w:pPr>
        <w:spacing w:after="40" w:before="80"/>
        <w:jc w:val="center"/>
      </w:pPr>
      <w:r>
        <w:drawing>
          <wp:inline xmlns:a="http://schemas.openxmlformats.org/drawingml/2006/main" xmlns:pic="http://schemas.openxmlformats.org/drawingml/2006/picture">
            <wp:extent cx="5940000" cy="3167337"/>
            <wp:docPr id="11" name="Picture 11"/>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5940000" cy="3167337"/>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7.  </w:t>
      </w:r>
      <w:r>
        <w:rPr>
          <w:rFonts w:ascii="Calibri" w:hAnsi="Calibri" w:eastAsia="Calibri" w:cs="Calibri"/>
          <w:b/>
          <w:i w:val="0"/>
          <w:color w:val="0F2246"/>
          <w:sz w:val="30"/>
        </w:rPr>
        <w:t>Sezione D, riscossione e gestione residui</w:t>
      </w:r>
    </w:p>
    <w:p>
      <w:pPr>
        <w:spacing w:after="160" w:before="0"/>
        <w:jc w:val="both"/>
      </w:pPr>
      <w:r>
        <w:rPr>
          <w:rFonts w:ascii="Calibri" w:hAnsi="Calibri" w:eastAsia="Calibri" w:cs="Calibri"/>
          <w:b w:val="0"/>
          <w:i/>
          <w:color w:val="656665"/>
          <w:sz w:val="19"/>
        </w:rPr>
        <w:t>La capacità di riscossione di competenza per i tre titoli di entrata correnti, integrata con la composizione dei flussi di entrata, fornisce la misura più robusta della sostenibilità finanziaria dell'ente nel medio periodo.</w:t>
      </w:r>
    </w:p>
    <w:p>
      <w:pPr>
        <w:spacing w:after="40" w:before="80"/>
        <w:jc w:val="center"/>
      </w:pPr>
      <w:r>
        <w:drawing>
          <wp:inline xmlns:a="http://schemas.openxmlformats.org/drawingml/2006/main" xmlns:pic="http://schemas.openxmlformats.org/drawingml/2006/picture">
            <wp:extent cx="5940000" cy="2274246"/>
            <wp:docPr id="12" name="Picture 12"/>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5940000" cy="2274246"/>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4. Accertamenti e riscossioni degli ultimi tre esercizi (euro)</w:t>
      </w:r>
    </w:p>
    <w:tbl>
      <w:tblPr>
        <w:tblW w:type="dxa" w:w="9639"/>
        <w:jc w:val="center"/>
        <w:tblLayout w:type="fixed"/>
        <w:tblLook w:firstColumn="1" w:firstRow="1" w:lastColumn="0" w:lastRow="0" w:noHBand="0" w:noVBand="1" w:val="04A0"/>
      </w:tblPr>
      <w:tblGrid>
        <w:gridCol w:w="2835"/>
        <w:gridCol w:w="794"/>
        <w:gridCol w:w="1701"/>
        <w:gridCol w:w="1474"/>
        <w:gridCol w:w="1474"/>
        <w:gridCol w:w="1361"/>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Titolo</w:t>
            </w:r>
          </w:p>
        </w:tc>
        <w:tc>
          <w:tcPr>
            <w:tcW w:type="dxa" w:w="79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Anno</w:t>
            </w:r>
          </w:p>
        </w:tc>
        <w:tc>
          <w:tcPr>
            <w:tcW w:type="dxa" w:w="170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Accertato</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C/C</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C/R</w:t>
            </w:r>
          </w:p>
        </w:tc>
        <w:tc>
          <w:tcPr>
            <w:tcW w:type="dxa" w:w="136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Compet.</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tributarie (Tit.I)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2017</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367.123</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328.354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19.005</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89,4%</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2018</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348.137</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342.039</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33.559</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98,2%</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Trasferimenti correnti (Tit.II)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2017</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523.831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2.031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276.488</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C4453F"/>
                <w:sz w:val="17"/>
              </w:rPr>
              <w:t>0,4%</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2018</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530.532</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87.532</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341.921</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C4453F"/>
                <w:sz w:val="17"/>
              </w:rPr>
              <w:t>16,5%</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extratributarie (Tit.III)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2017</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618.185</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529.996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29.945</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85,7%</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2018</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688.810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622.635</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79.283</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90,4%</w:t>
            </w:r>
          </w:p>
        </w:tc>
      </w:tr>
    </w:tbl>
    <w:p>
      <w:pPr>
        <w:spacing w:after="120" w:before="0"/>
      </w:pPr>
    </w:p>
    <w:p>
      <w:pPr>
        <w:pStyle w:val="Heading2"/>
      </w:pPr>
      <w:r>
        <w:rPr>
          <w:rFonts w:ascii="Calibri" w:hAnsi="Calibri" w:eastAsia="Calibri" w:cs="Calibri"/>
          <w:b/>
          <w:i w:val="0"/>
          <w:color w:val="1A396B"/>
          <w:sz w:val="24"/>
        </w:rPr>
        <w:t>7.1  Composizione delle entrate, anno 2018</w:t>
      </w:r>
    </w:p>
    <w:p>
      <w:pPr>
        <w:spacing w:after="40" w:before="80"/>
        <w:jc w:val="center"/>
      </w:pPr>
      <w:r>
        <w:drawing>
          <wp:inline xmlns:a="http://schemas.openxmlformats.org/drawingml/2006/main" xmlns:pic="http://schemas.openxmlformats.org/drawingml/2006/picture">
            <wp:extent cx="5040000" cy="3482671"/>
            <wp:docPr id="13" name="Picture 13"/>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5040000" cy="3482671"/>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8.  </w:t>
      </w:r>
      <w:r>
        <w:rPr>
          <w:rFonts w:ascii="Calibri" w:hAnsi="Calibri" w:eastAsia="Calibri" w:cs="Calibri"/>
          <w:b/>
          <w:i w:val="0"/>
          <w:color w:val="0F2246"/>
          <w:sz w:val="30"/>
        </w:rPr>
        <w:t>Sezione E, indebitamento</w:t>
      </w:r>
    </w:p>
    <w:p>
      <w:pPr>
        <w:spacing w:after="160" w:before="0"/>
        <w:jc w:val="both"/>
      </w:pPr>
      <w:r>
        <w:rPr>
          <w:rFonts w:ascii="Calibri" w:hAnsi="Calibri" w:eastAsia="Calibri" w:cs="Calibri"/>
          <w:b w:val="0"/>
          <w:i/>
          <w:color w:val="656665"/>
          <w:sz w:val="19"/>
        </w:rPr>
        <w:t>L'art. 204 del TUEL fissa al 10% il limite massimo del rapporto tra interessi passivi e entrate correnti del rendiconto del penultimo anno precedente. Il rispetto di tale limite è condizione per l'assunzione di nuovi mutui.</w:t>
      </w:r>
    </w:p>
    <w:p>
      <w:pPr>
        <w:spacing w:after="40" w:before="80"/>
        <w:jc w:val="center"/>
      </w:pPr>
      <w:r>
        <w:drawing>
          <wp:inline xmlns:a="http://schemas.openxmlformats.org/drawingml/2006/main" xmlns:pic="http://schemas.openxmlformats.org/drawingml/2006/picture">
            <wp:extent cx="3960000" cy="4139186"/>
            <wp:docPr id="14" name="Picture 14"/>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3960000" cy="4139186"/>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5. Limite all'indebitamento, art. 204 TUEL</w:t>
      </w:r>
    </w:p>
    <w:tbl>
      <w:tblPr>
        <w:tblW w:type="dxa" w:w="9638"/>
        <w:jc w:val="center"/>
        <w:tblLayout w:type="fixed"/>
        <w:tblLook w:firstColumn="1" w:firstRow="1" w:lastColumn="0" w:lastRow="0" w:noHBand="0" w:noVBand="1" w:val="04A0"/>
      </w:tblPr>
      <w:tblGrid>
        <w:gridCol w:w="907"/>
        <w:gridCol w:w="2268"/>
        <w:gridCol w:w="1928"/>
        <w:gridCol w:w="1474"/>
        <w:gridCol w:w="1474"/>
        <w:gridCol w:w="1587"/>
      </w:tblGrid>
      <w:tr>
        <w:trPr>
          <w:cantSplit/>
          <w:tblHeader/>
        </w:trPr>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Anno</w:t>
            </w:r>
          </w:p>
        </w:tc>
        <w:tc>
          <w:tcPr>
            <w:tcW w:type="dxa" w:w="226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Entrate correnti</w:t>
            </w:r>
          </w:p>
        </w:tc>
        <w:tc>
          <w:tcPr>
            <w:tcW w:type="dxa" w:w="192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Interessi passivi</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rapporto</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Limite (10%)</w:t>
            </w:r>
          </w:p>
        </w:tc>
        <w:tc>
          <w:tcPr>
            <w:tcW w:type="dxa" w:w="158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2017</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347.359 €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0 €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0,00%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2018</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375.598 €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0 €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0,00%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9.  </w:t>
      </w:r>
      <w:r>
        <w:rPr>
          <w:rFonts w:ascii="Calibri" w:hAnsi="Calibri" w:eastAsia="Calibri" w:cs="Calibri"/>
          <w:b/>
          <w:i w:val="0"/>
          <w:color w:val="0F2246"/>
          <w:sz w:val="30"/>
        </w:rPr>
        <w:t>Sezione F, criticità SezAut e azioni correttive</w:t>
      </w:r>
    </w:p>
    <w:p>
      <w:pPr>
        <w:spacing w:after="160" w:before="0"/>
        <w:jc w:val="both"/>
      </w:pPr>
      <w:r>
        <w:rPr>
          <w:rFonts w:ascii="Calibri" w:hAnsi="Calibri" w:eastAsia="Calibri" w:cs="Calibri"/>
          <w:b w:val="0"/>
          <w:i/>
          <w:color w:val="656665"/>
          <w:sz w:val="19"/>
        </w:rPr>
        <w:t>La Sezione delle Autonomie della Corte dei conti, con le delibere 8/2024 e 8/2025, ha individuato le aree di maggiore attenzione nell'analisi dei rendiconti degli enti locali. La presente sezione raccoglie le criticità rilevate, le azioni già adottate dall'Ente e quelle programmate per l'esercizio successivo.</w:t>
      </w:r>
    </w:p>
    <w:tbl>
      <w:tblPr>
        <w:tblW w:type="dxa" w:w="9638"/>
        <w:jc w:val="center"/>
        <w:tblLayout w:type="fixed"/>
        <w:tblLook w:firstColumn="1" w:firstRow="1" w:lastColumn="0" w:lastRow="0" w:noHBand="0" w:noVBand="1" w:val="04A0"/>
      </w:tblPr>
      <w:tblGrid>
        <w:gridCol w:w="2381"/>
        <w:gridCol w:w="3175"/>
        <w:gridCol w:w="4082"/>
      </w:tblGrid>
      <w:tr>
        <w:trPr>
          <w:cantSplit/>
          <w:tblHeader/>
        </w:trPr>
        <w:tc>
          <w:tcPr>
            <w:tcW w:type="dxa" w:w="2381"/>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Area</w:t>
            </w:r>
          </w:p>
        </w:tc>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Criticità rilevata</w:t>
            </w:r>
          </w:p>
        </w:tc>
        <w:tc>
          <w:tcPr>
            <w:tcW w:type="dxa" w:w="408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Azione correttiva</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Autonomia finanziaria</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9,3 %, contro mediana fascia 43,0.</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Rafforzare le entrate proprie, ridurre la dipendenza da trasferimenti statali/regionali.</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Dipendenti per 1000 abitanti</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8,5 dip/1000ab, contro mediana fascia 4,9.</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Verificare il piano dei fabbisogni, razionalizzare la dotazione organica, favorire la digitalizzazione dei servizi.</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FCDE Copertura Globale</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17,6 %, contro mediana fascia 33,3.</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Adeguare il fondo FCDE alla consistenza dei residui attivi a rischio, includendo sia le entrate tributarie che le extratributarie (sanzioni, canoni, proventi).</w:t>
            </w:r>
          </w:p>
        </w:tc>
      </w:tr>
    </w:tbl>
    <w:p>
      <w:pPr>
        <w:spacing w:after="120" w:before="0"/>
      </w:pPr>
    </w:p>
    <w:p>
      <w:pPr>
        <w:pStyle w:val="Heading2"/>
      </w:pPr>
      <w:r>
        <w:rPr>
          <w:rFonts w:ascii="Calibri" w:hAnsi="Calibri" w:eastAsia="Calibri" w:cs="Calibri"/>
          <w:b/>
          <w:i w:val="0"/>
          <w:color w:val="1A396B"/>
          <w:sz w:val="24"/>
        </w:rPr>
        <w:t>9.1  Sintesi delle azioni di miglioramento programmate</w:t>
      </w:r>
    </w:p>
    <w:p>
      <w:pPr>
        <w:spacing w:after="120" w:before="0"/>
        <w:jc w:val="both"/>
      </w:pPr>
      <w:r>
        <w:rPr>
          <w:rFonts w:ascii="Calibri" w:hAnsi="Calibri" w:eastAsia="Calibri" w:cs="Calibri"/>
          <w:b w:val="0"/>
          <w:i w:val="0"/>
          <w:color w:val="333333"/>
          <w:sz w:val="21"/>
        </w:rPr>
        <w:t>Il Servizio Finanziario, anche in coerenza con la programmazione di mandato e con il DUP, prosegue il presidio sui seguenti ambiti:</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Riscossione coattiva</w:t>
      </w:r>
      <w:r>
        <w:rPr>
          <w:rFonts w:ascii="Calibri" w:hAnsi="Calibri" w:eastAsia="Calibri" w:cs="Calibri"/>
          <w:b w:val="0"/>
          <w:i w:val="0"/>
          <w:color w:val="333333"/>
          <w:sz w:val="21"/>
        </w:rPr>
        <w:t>, accelerazione delle procedure ai sensi del D.L. 146/2021 e della L. 199/2025, valorizzazione della rottamazione delle entrate locali ove deliberata.</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FCDE, Fondo Crediti di Dubbia Esigibilità</w:t>
      </w:r>
      <w:r>
        <w:rPr>
          <w:rFonts w:ascii="Calibri" w:hAnsi="Calibri" w:eastAsia="Calibri" w:cs="Calibri"/>
          <w:b w:val="0"/>
          <w:i w:val="0"/>
          <w:color w:val="333333"/>
          <w:sz w:val="21"/>
        </w:rPr>
        <w:t>, verifica annuale della congruità del fondo accantonato in sede di rendiconto, secondo il principio contabile applicato (Allegato 4/2 al D.Lgs. 118/2011).</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Spesa di personale</w:t>
      </w:r>
      <w:r>
        <w:rPr>
          <w:rFonts w:ascii="Calibri" w:hAnsi="Calibri" w:eastAsia="Calibri" w:cs="Calibri"/>
          <w:b w:val="0"/>
          <w:i w:val="0"/>
          <w:color w:val="333333"/>
          <w:sz w:val="21"/>
        </w:rPr>
        <w:t>, controllo del rispetto del valore soglia ai sensi dell'art. 33 del D.L. 34/2019 come convertito.</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Tempi medi di pagamento</w:t>
      </w:r>
      <w:r>
        <w:rPr>
          <w:rFonts w:ascii="Calibri" w:hAnsi="Calibri" w:eastAsia="Calibri" w:cs="Calibri"/>
          <w:b w:val="0"/>
          <w:i w:val="0"/>
          <w:color w:val="333333"/>
          <w:sz w:val="21"/>
        </w:rPr>
        <w:t>, monitoraggio PCC e indicatore ITP per garantire il rispetto dei termini di legge (D.Lgs. 192/2012).</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Equilibri di bilancio</w:t>
      </w:r>
      <w:r>
        <w:rPr>
          <w:rFonts w:ascii="Calibri" w:hAnsi="Calibri" w:eastAsia="Calibri" w:cs="Calibri"/>
          <w:b w:val="0"/>
          <w:i w:val="0"/>
          <w:color w:val="333333"/>
          <w:sz w:val="21"/>
        </w:rPr>
        <w:t>, verifica costante degli equilibri di parte corrente e di parte capitale ai sensi dell'art. 162, comma 6, TUEL.</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Partecipate</w:t>
      </w:r>
      <w:r>
        <w:rPr>
          <w:rFonts w:ascii="Calibri" w:hAnsi="Calibri" w:eastAsia="Calibri" w:cs="Calibri"/>
          <w:b w:val="0"/>
          <w:i w:val="0"/>
          <w:color w:val="333333"/>
          <w:sz w:val="21"/>
        </w:rPr>
        <w:t>, monitoraggio dei risultati delle società partecipate e dei rispettivi piani di razionalizzazione (D.Lgs. 175/2016 TUSP).</w:t>
      </w:r>
    </w:p>
    <w:p>
      <w:pPr>
        <w:pStyle w:val="Heading1"/>
        <w:pageBreakBefore/>
        <w:pBdr>
          <w:bottom w:val="single" w:sz="8" w:space="4" w:color="C7951E"/>
        </w:pBdr>
      </w:pPr>
      <w:r>
        <w:rPr>
          <w:rFonts w:ascii="Calibri" w:hAnsi="Calibri" w:eastAsia="Calibri" w:cs="Calibri"/>
          <w:b/>
          <w:i w:val="0"/>
          <w:color w:val="C7951E"/>
          <w:sz w:val="30"/>
        </w:rPr>
        <w:t xml:space="preserve">10.  </w:t>
      </w:r>
      <w:r>
        <w:rPr>
          <w:rFonts w:ascii="Calibri" w:hAnsi="Calibri" w:eastAsia="Calibri" w:cs="Calibri"/>
          <w:b/>
          <w:i w:val="0"/>
          <w:color w:val="0F2246"/>
          <w:sz w:val="30"/>
        </w:rPr>
        <w:t>Conclusioni</w:t>
      </w:r>
    </w:p>
    <w:p>
      <w:pPr>
        <w:spacing w:after="120" w:before="0"/>
        <w:jc w:val="both"/>
      </w:pPr>
      <w:r>
        <w:rPr>
          <w:rFonts w:ascii="Calibri" w:hAnsi="Calibri" w:eastAsia="Calibri" w:cs="Calibri"/>
          <w:b w:val="0"/>
          <w:i w:val="0"/>
          <w:color w:val="333333"/>
          <w:sz w:val="21"/>
        </w:rPr>
        <w:t>Sulla base dei dati riportati nelle precedenti sezioni, fondati su evidenze BDAP, SIOPE e sui questionari della Sezione delle Autonomie, il quadro finanziario complessivo dell'ente, Comune di Imer, alla chiusura dell'esercizio 2018 si presenta nei termini di seguito sintetizzati.</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Conclusione di sintesi</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spacing w:after="120" w:before="0"/>
        <w:jc w:val="both"/>
      </w:pPr>
      <w:r>
        <w:rPr>
          <w:rFonts w:ascii="Calibri" w:hAnsi="Calibri" w:eastAsia="Calibri" w:cs="Calibri"/>
          <w:b w:val="0"/>
          <w:i w:val="0"/>
          <w:color w:val="333333"/>
          <w:sz w:val="21"/>
        </w:rPr>
        <w:t>La presente Relazione costituisce documento di trasparenza e supporto alle valutazioni del Consiglio Comunale, dell'Organo di Revisione e della Sezione Regionale di Controllo della Corte dei conti, ai sensi dell'art. 1, commi 166 e seguenti, della Legge 23 dicembre 2005 n. 266.</w:t>
      </w:r>
    </w:p>
    <w:p>
      <w:pPr>
        <w:spacing w:after="120" w:before="0"/>
        <w:jc w:val="both"/>
      </w:pPr>
      <w:r>
        <w:rPr>
          <w:rFonts w:ascii="Calibri" w:hAnsi="Calibri" w:eastAsia="Calibri" w:cs="Calibri"/>
          <w:b w:val="0"/>
          <w:i w:val="0"/>
          <w:color w:val="333333"/>
          <w:sz w:val="21"/>
        </w:rPr>
        <w:t>Il Responsabile del Servizio Finanziario attesta la corrispondenza dei dati esposti con le risultanze delle scritture contabili dell'ente e con i flussi inviati ai sistemi SIOPE e BDAP.</w:t>
      </w:r>
    </w:p>
    <w:p>
      <w:pPr>
        <w:keepNext/>
        <w:spacing w:after="320" w:before="480"/>
        <w:jc w:val="right"/>
      </w:pPr>
      <w:r>
        <w:rPr>
          <w:rFonts w:ascii="Calibri" w:hAnsi="Calibri" w:eastAsia="Calibri" w:cs="Calibri"/>
          <w:b w:val="0"/>
          <w:i w:val="0"/>
          <w:color w:val="656665"/>
          <w:sz w:val="20"/>
        </w:rPr>
        <w:t>Imer, 26/09/2026</w:t>
      </w:r>
    </w:p>
    <w:tbl>
      <w:tblPr>
        <w:tblW w:type="dxa" w:w="9637"/>
        <w:tblBorders>
          <w:top w:val="nil"/>
          <w:left w:val="nil"/>
          <w:bottom w:val="nil"/>
          <w:right w:val="nil"/>
          <w:insideH w:val="nil"/>
          <w:insideV w:val="nil"/>
        </w:tblBorders>
        <w:tblLayout w:type="fixed"/>
        <w:tblLook w:firstColumn="1" w:firstRow="1" w:lastColumn="0" w:lastRow="0" w:noHBand="0" w:noVBand="1" w:val="04A0"/>
      </w:tblPr>
      <w:tblGrid>
        <w:gridCol w:w="5102"/>
        <w:gridCol w:w="4535"/>
      </w:tblGrid>
      <w:tr>
        <w:trPr>
          <w:cantSplit/>
        </w:trPr>
        <w:tc>
          <w:tcPr>
            <w:tcW w:type="dxa" w:w="5102"/>
          </w:tcPr>
          <w:p/>
        </w:tc>
        <w:tc>
          <w:tcPr>
            <w:tcW w:type="dxa" w:w="4535"/>
          </w:tcPr>
          <w:p>
            <w:pPr>
              <w:jc w:val="center"/>
            </w:pPr>
            <w:r>
              <w:rPr>
                <w:rFonts w:ascii="Calibri" w:hAnsi="Calibri" w:eastAsia="Calibri" w:cs="Calibri"/>
                <w:b w:val="0"/>
                <w:i/>
                <w:color w:val="656665"/>
                <w:sz w:val="19"/>
              </w:rPr>
              <w:t>Responsabile del Servizio Finanziario</w:t>
            </w:r>
          </w:p>
          <w:p>
            <w:pPr>
              <w:pBdr>
                <w:bottom w:val="single" w:sz="6" w:space="4" w:color="333333"/>
              </w:pBdr>
              <w:spacing w:before="520" w:after="40"/>
            </w:pPr>
          </w:p>
          <w:p>
            <w:pPr>
              <w:jc w:val="center"/>
            </w:pPr>
            <w:r>
              <w:rPr>
                <w:rFonts w:ascii="Calibri" w:hAnsi="Calibri" w:eastAsia="Calibri" w:cs="Calibri"/>
                <w:b/>
                <w:i w:val="0"/>
                <w:color w:val="0F2246"/>
                <w:sz w:val="22"/>
              </w:rPr>
              <w:t>(Nome del Responsabile)</w:t>
            </w:r>
          </w:p>
        </w:tc>
      </w:tr>
    </w:tbl>
    <w:p>
      <w:pPr>
        <w:pBdr>
          <w:bottom w:val="single" w:sz="4" w:space="4" w:color="E5E1D5"/>
        </w:pBdr>
        <w:spacing w:after="120" w:before="0"/>
      </w:pPr>
    </w:p>
    <w:p>
      <w:pPr>
        <w:spacing w:after="80" w:before="0"/>
      </w:pPr>
      <w:r>
        <w:rPr>
          <w:rFonts w:ascii="Calibri" w:hAnsi="Calibri" w:eastAsia="Calibri" w:cs="Calibri"/>
          <w:b w:val="0"/>
          <w:i/>
          <w:color w:val="656665"/>
          <w:sz w:val="17"/>
        </w:rPr>
        <w:t>Documento elaborato con il cruscotto Officina Tributaria, sezione Dossier Bilanci Enti Locali. Le elaborazioni si fondano su dati open BDAP, SIOPE, Conto Annuale RGS, ISPRA, Allegato l. La validazione finale dei dati e delle conclusioni resta in capo al Responsabile del Servizio Finanziario dell'ente.</w:t>
      </w:r>
    </w:p>
    <w:sectPr w:rsidR="00FC693F" w:rsidRPr="0006063C" w:rsidSect="00034616">
      <w:headerReference w:type="default" r:id="rId10"/>
      <w:footerReference w:type="default" r:id="rId11"/>
      <w:pgSz w:w="11906" w:h="16838"/>
      <w:pgMar w:top="1304" w:right="1134" w:bottom="1134" w:left="1134" w:header="56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C9C3B2"/>
      </w:pBdr>
      <w:tabs>
        <w:tab w:pos="4680" w:val="clear"/>
        <w:tab w:pos="9360" w:val="clear"/>
        <w:tab w:pos="9638" w:val="right"/>
      </w:tabs>
    </w:pPr>
    <w:r>
      <w:rPr>
        <w:rFonts w:ascii="Calibri" w:hAnsi="Calibri" w:eastAsia="Calibri" w:cs="Calibri"/>
        <w:b w:val="0"/>
        <w:i w:val="0"/>
        <w:color w:val="656665"/>
        <w:sz w:val="16"/>
      </w:rPr>
      <w:t>Officina Tributaria S.p.A.  ·  Documento riservato</w:t>
    </w:r>
    <w:r>
      <w:rPr>
        <w:rFonts w:ascii="Calibri" w:hAnsi="Calibri" w:eastAsia="Calibri" w:cs="Calibri"/>
        <w:b w:val="0"/>
        <w:i w:val="0"/>
        <w:color w:val="656665"/>
        <w:sz w:val="16"/>
      </w:rPr>
      <w:tab/>
      <w:t xml:space="preserve">Pag. </w:t>
    </w:r>
    <w:r>
      <w:rPr>
        <w:rFonts w:ascii="Calibri" w:hAnsi="Calibri" w:eastAsia="Calibri" w:cs="Calibri"/>
        <w:b w:val="0"/>
        <w:i w:val="0"/>
        <w:color w:val="656665"/>
        <w:sz w:val="16"/>
      </w:rPr>
      <w:fldChar w:fldCharType="begin"/>
      <w:instrText xml:space="preserve"> PAGE </w:instrText>
      <w:fldChar w:fldCharType="separate"/>
      <w:t>1</w:t>
      <w:fldChar w:fldCharType="end"/>
    </w:r>
    <w:r>
      <w:rPr>
        <w:rFonts w:ascii="Calibri" w:hAnsi="Calibri" w:eastAsia="Calibri" w:cs="Calibri"/>
        <w:b w:val="0"/>
        <w:i w:val="0"/>
        <w:color w:val="656665"/>
        <w:sz w:val="16"/>
      </w:rPr>
      <w:t xml:space="preserve"> di </w:t>
    </w:r>
    <w:r>
      <w:rPr>
        <w:rFonts w:ascii="Calibri" w:hAnsi="Calibri" w:eastAsia="Calibri" w:cs="Calibri"/>
        <w:b w:val="0"/>
        <w:i w:val="0"/>
        <w:color w:val="656665"/>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C9C3B2"/>
      </w:pBdr>
      <w:tabs>
        <w:tab w:pos="4680" w:val="clear"/>
        <w:tab w:pos="9360" w:val="clear"/>
        <w:tab w:pos="9638" w:val="right"/>
      </w:tabs>
      <w:spacing w:after="0"/>
    </w:pPr>
    <w:r>
      <w:drawing>
        <wp:inline xmlns:a="http://schemas.openxmlformats.org/drawingml/2006/main" xmlns:pic="http://schemas.openxmlformats.org/drawingml/2006/picture">
          <wp:extent cx="1007407" cy="306000"/>
          <wp:docPr id="1" name="Picture 1"/>
          <wp:cNvGraphicFramePr>
            <a:graphicFrameLocks noChangeAspect="1"/>
          </wp:cNvGraphicFramePr>
          <a:graphic>
            <a:graphicData uri="http://schemas.openxmlformats.org/drawingml/2006/picture">
              <pic:pic>
                <pic:nvPicPr>
                  <pic:cNvPr id="0" name="logo_intestazione.png"/>
                  <pic:cNvPicPr/>
                </pic:nvPicPr>
                <pic:blipFill>
                  <a:blip r:embed="rId1"/>
                  <a:stretch>
                    <a:fillRect/>
                  </a:stretch>
                </pic:blipFill>
                <pic:spPr>
                  <a:xfrm>
                    <a:off x="0" y="0"/>
                    <a:ext cx="1007407" cy="306000"/>
                  </a:xfrm>
                  <a:prstGeom prst="rect"/>
                </pic:spPr>
              </pic:pic>
            </a:graphicData>
          </a:graphic>
        </wp:inline>
      </w:drawing>
    </w:r>
    <w:r>
      <w:rPr>
        <w:rFonts w:ascii="Calibri" w:hAnsi="Calibri" w:eastAsia="Calibri" w:cs="Calibri"/>
        <w:b w:val="0"/>
        <w:i/>
        <w:color w:val="656665"/>
        <w:sz w:val="17"/>
      </w:rPr>
      <w:tab/>
      <w:t>Relazione al rendiconto 2018  ·  Comune di Imer</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Calibri" w:hAnsi="Calibri" w:eastAsia="Calibri" w:cs="Calibri"/>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Calibri" w:hAnsi="Calibri" w:eastAsia="Calibri" w:cs="Calibri"/>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Calibri" w:hAnsi="Calibri" w:eastAsia="Calibri" w:cs="Calibri"/>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Calibri" w:hAnsi="Calibri" w:eastAsia="Calibri" w:cs="Calibri"/>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cs="Calibri"/>
      <w:color w:val="3333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Calibri" w:hAnsi="Calibri" w:eastAsia="Calibri" w:cs="Calibri"/>
      <w:b/>
      <w:bCs/>
      <w:i w:val="0"/>
      <w:color w:val="0F2246"/>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Calibri" w:hAnsi="Calibri" w:eastAsia="Calibri" w:cs="Calibri"/>
      <w:b/>
      <w:bCs/>
      <w:i w:val="0"/>
      <w:color w:val="1A396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image" Target="media/image14.png"/><Relationship Id="rId24" Type="http://schemas.openxmlformats.org/officeDocument/2006/relationships/image" Target="media/image15.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Officina Tributaria S.p.A.</dc:creator>
  <cp:keywords/>
  <dc:description/>
  <cp:lastModifiedBy>Officina Tributaria S.p.A.</cp:lastModifiedBy>
  <cp:revision>1</cp:revision>
  <dcterms:created xsi:type="dcterms:W3CDTF">2026-09-26T14:29:06Z</dcterms:created>
  <dcterms:modified xsi:type="dcterms:W3CDTF">2026-09-26T14:29:06Z</dcterms:modified>
  <cp:category/>
  <cp:contentStatus/>
  <dc:identifier/>
  <cp:version/>
  <dc:language>it-IT</dc:language>
</cp:coreProperties>
</file>

<file path=docProps/custom.xml><?xml version="1.0" encoding="utf-8"?>
<Properties xmlns="http://schemas.openxmlformats.org/officeDocument/2006/custom-properties" xmlns:vt="http://schemas.openxmlformats.org/officeDocument/2006/docPropsVTypes"/>
</file>