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Imer</w:t>
      </w:r>
    </w:p>
    <w:p>
      <w:pPr>
        <w:spacing w:after="200" w:before="0"/>
      </w:pPr>
      <w:r>
        <w:rPr>
          <w:rFonts w:ascii="Calibri" w:hAnsi="Calibri" w:eastAsia="Calibri" w:cs="Calibri"/>
          <w:b w:val="0"/>
          <w:i w:val="0"/>
          <w:color w:val="656665"/>
          <w:sz w:val="21"/>
        </w:rPr>
        <w:t>Trento  ·  Trentino-Alto Adige  ·  1.176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E288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022097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011118366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Imer,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1.176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10</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Trentino-Alto Adige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E288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2.252,0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1.339,0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18,3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367.123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328.354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19.005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523.831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276.488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0,4%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618.185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529.996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85,7%</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82671"/>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82671"/>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347.359 €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13,1 %, contro mediana fascia 40,8.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8,5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9,0 %, contro mediana fascia 31,8.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6,1 %, contro mediana fascia 26,8.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Imer,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Imer,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Imer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2026-09-26T18:31:21Z</dcterms:created>
  <dcterms:modified xsi:type="dcterms:W3CDTF">2026-09-26T18:31:21Z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