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Avio</w:t>
      </w:r>
    </w:p>
    <w:p>
      <w:pPr>
        <w:spacing w:after="200" w:before="0"/>
      </w:pPr>
      <w:r>
        <w:rPr>
          <w:rFonts w:ascii="Calibri" w:hAnsi="Calibri" w:eastAsia="Calibri" w:cs="Calibri"/>
          <w:b w:val="0"/>
          <w:i w:val="0"/>
          <w:color w:val="656665"/>
          <w:sz w:val="21"/>
        </w:rPr>
        <w:t>Trento  ·  Trentino-Alto Adige  ·  4.110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A520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022007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011116271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Avio,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4.110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A520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0,14 %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1.710,0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1.093,0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28,8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1.109,0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1.647.842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1.410.067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232.567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1.245.082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54.635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1.041.485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1.639.185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1.105.859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521.767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67,5%</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6109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6109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1.642.634 €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23,4 %, contro mediana fascia 45,5.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6,3 dip/1000ab, contro mediana fascia 4,2.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13,0 %, contro mediana fascia 33,6.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Avio,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Avio,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Avio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2026-09-26T20:01:38Z</dcterms:created>
  <dcterms:modified xsi:type="dcterms:W3CDTF">2026-09-26T20:01:38Z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