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Mormanno</w:t>
      </w:r>
    </w:p>
    <w:p>
      <w:pPr>
        <w:spacing w:after="200" w:before="0"/>
      </w:pPr>
      <w:r>
        <w:rPr>
          <w:rFonts w:ascii="Calibri" w:hAnsi="Calibri" w:eastAsia="Calibri" w:cs="Calibri"/>
          <w:b w:val="0"/>
          <w:i w:val="0"/>
          <w:color w:val="656665"/>
          <w:sz w:val="21"/>
        </w:rPr>
        <w:t>Cosenza  ·  Calabria  ·  2.529 abitanti</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F735</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078084</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000724100</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Comune di Mormanno,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2.529</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1.000-2.999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25</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Cosenza</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Calabria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F735</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C4453F"/>
              <w:bottom w:val="nil"/>
              <w:right w:val="nil"/>
            </w:tcBorders>
            <w:shd w:val="clear" w:color="auto" w:fill="F6E3E1"/>
            <w:tcMar>
              <w:top w:w="110" w:type="dxa"/>
              <w:left w:w="200" w:type="dxa"/>
              <w:bottom w:w="110" w:type="dxa"/>
              <w:right w:w="160" w:type="dxa"/>
            </w:tcMar>
          </w:tcPr>
          <w:p>
            <w:pPr>
              <w:spacing w:after="60"/>
            </w:pPr>
            <w:r>
              <w:rPr>
                <w:rFonts w:ascii="Calibri" w:hAnsi="Calibri" w:eastAsia="Calibri" w:cs="Calibri"/>
                <w:b/>
                <w:i w:val="0"/>
                <w:color w:val="C4453F"/>
                <w:sz w:val="19"/>
              </w:rPr>
              <w:t>Stato di dissesto finanziario</w:t>
            </w:r>
          </w:p>
          <w:p>
            <w:pPr>
              <w:spacing w:after="40"/>
              <w:jc w:val="both"/>
            </w:pPr>
            <w:r>
              <w:rPr>
                <w:rFonts w:ascii="Calibri" w:hAnsi="Calibri" w:eastAsia="Calibri" w:cs="Calibri"/>
                <w:b w:val="0"/>
                <w:i w:val="0"/>
                <w:color w:val="333333"/>
                <w:sz w:val="20"/>
              </w:rPr>
              <w:t>L'ente risulta in stato di dissesto dichiarato nell'anno 1989.</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1436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09530"/>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12,40 %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81,10 %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0,66 %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75,80 %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29,00 %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976395"/>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976395"/>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2.901,0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2.028,0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2.245,0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23,4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33,1</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24,3</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12,4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12,4</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14,2</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89,3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86,7</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71,0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100,1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76,2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46,4</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24,9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26,2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20,1</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12,3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11,7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11,6</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2023 → 2025</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9,9</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62,6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73,3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64,1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60,5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58,9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47,9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93,1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80,8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28,3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Residuo TARI non riscosso</w:t>
            </w:r>
          </w:p>
          <w:p>
            <w:pPr>
              <w:spacing w:after="0"/>
              <w:jc w:val="left"/>
            </w:pPr>
            <w:r>
              <w:rPr>
                <w:rFonts w:ascii="Calibri" w:hAnsi="Calibri" w:eastAsia="Calibri" w:cs="Calibri"/>
                <w:b w:val="0"/>
                <w:i w:val="0"/>
                <w:color w:val="656665"/>
                <w:sz w:val="14"/>
              </w:rPr>
              <w:t>% TARI dell'esercizio non riscossa in competenza (Allegato d, cat. 61)</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46,9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789,0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0 su 4 organismi partecipati presentano risultato d'esercizio negativo (censimento MEF 2023).</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2023</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2.345,0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2.901,0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+23,7%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2.481,0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2.755,0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+11,0%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26,9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23,4</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-13,0%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12,4</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-20,0%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11,7</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-19,3%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95,8</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89,3</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-6,8%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85,9</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100,1</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+16,5%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631,0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680,0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+7,8%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1.594.567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1.425.666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97.235</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89,4%</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1.666.250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1.461.573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134.672</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87,7%</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1.928.412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1.563.217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159.604</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81,1%</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810.930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594.936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239.141</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73,4%</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620.126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400.365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175.301</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64,6%</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752.440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426.926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253.532</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56,7%</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865.462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607.866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257.254</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70,2%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868.386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509.351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236.528</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58,7%</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840.733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509.368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331.857</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60,6%</w:t>
            </w:r>
          </w:p>
        </w:tc>
      </w:tr>
    </w:tbl>
    <w:p>
      <w:pPr>
        <w:spacing w:after="120" w:before="0"/>
      </w:pPr>
    </w:p>
    <w:p>
      <w:pPr>
        <w:pStyle w:val="Heading2"/>
      </w:pPr>
      <w:r>
        <w:rPr>
          <w:rFonts w:ascii="Calibri" w:hAnsi="Calibri" w:eastAsia="Calibri" w:cs="Calibri"/>
          <w:b/>
          <w:i w:val="0"/>
          <w:color w:val="1A396B"/>
          <w:sz w:val="24"/>
        </w:rPr>
        <w:t>7.1  Composizione delle entrate, anno 2025</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1.477.105 €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61.279 €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4,15%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1.570.971 €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58.944 €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3,75%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1.522.901 €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60.288 €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3,96%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1.596.245 €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60.489 €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3,79%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2025</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1.718.744 €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48.377 €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2,81%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23,4 %, contro mediana fascia 33,1.</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Rafforzare le entrate proprie, ridurre la dipendenza da trasferimenti statali/regionali.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Dipendenti per 1000 abitanti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9,9 dip/1000ab, contro mediana fascia 4,9.</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Verificare il piano dei fabbisogni, razionalizzare la dotazione organica, favorire la digitalizzazione dei servizi.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Margine Corrente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9,2 %, contro mediana fascia 13,1.</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le entrate correnti o contenere la spesa corrente per migliorare il margine. Verificare la sostenibilità strutturale del bilancio.</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Residuo TARI non riscosso</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46,9 %, contro mediana fascia n.d..</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Migliorare la riscossione TARI: verificare la correttezza delle utenze, attivare il sollecito automatico, rafforzare la riscossione coattiva.</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Mormanno,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Mormanno,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Comune di Mormanno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2026-09-26T14:33:07Z</dcterms:created>
  <dcterms:modified xsi:type="dcterms:W3CDTF">2026-09-26T14:33:07Z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