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Martello</w:t>
      </w:r>
    </w:p>
    <w:p>
      <w:pPr>
        <w:spacing w:after="200" w:before="0"/>
      </w:pPr>
      <w:r>
        <w:rPr>
          <w:rFonts w:ascii="Calibri" w:hAnsi="Calibri" w:eastAsia="Calibri" w:cs="Calibri"/>
          <w:b w:val="0"/>
          <w:i w:val="0"/>
          <w:color w:val="656665"/>
          <w:sz w:val="21"/>
        </w:rPr>
        <w:t>Bolzano  ·  Trentino-Alto Adige  ·  839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E981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021049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000722729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Martello,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839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Bolzano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Trentino-Alto Adige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E981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13.143,0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6.356,0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6704"/>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6704"/>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15.477,0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13.143,0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16.212,0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15.776,0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100,9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739,0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5569"/>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55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478.081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466.133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545.834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533.634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23.051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97,8%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615.072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606.205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14.182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742.018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665.114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47.983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715.522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383.389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65.023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53,6%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793.635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492.806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295.105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5.590.798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5.242.896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297.034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4.050.380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3.451.232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369.611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3.686.504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3.007.508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574.218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477.326 €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35.832 €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531.927 €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35.853 €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478.457 €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41.763 €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556.685 €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36.690 €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620.387 €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31.421 €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5,6 %, contro mediana fascia 24,3.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54,3.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9,0 %, contro mediana fascia 41,0.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Martello,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Martello,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Martello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2026-09-26T14:16:05Z</dcterms:created>
  <dcterms:modified xsi:type="dcterms:W3CDTF">2026-09-26T14:16:05Z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