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Camastra</w:t>
      </w:r>
    </w:p>
    <w:p>
      <w:pPr>
        <w:spacing w:after="200" w:before="0"/>
      </w:pPr>
      <w:r>
        <w:rPr>
          <w:rFonts w:ascii="Calibri" w:hAnsi="Calibri" w:eastAsia="Calibri" w:cs="Calibri"/>
          <w:b w:val="0"/>
          <w:i w:val="0"/>
          <w:color w:val="656665"/>
          <w:sz w:val="21"/>
        </w:rPr>
        <w:t>Agrigento  ·  Sicilia  ·  1.955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B460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084008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000720487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Camastra,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1.955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Agrigento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B460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2023.</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41031"/>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(2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0,92 %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2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3.868,0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3.681,0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3.868,0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3.868,0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86,4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2.511.530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1.817.810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354.702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72,4%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1.392.443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764.139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385.537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1.658.044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1.063.393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369.218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64,1%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1.091.669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1.025.579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121.189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2.104.109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2.022.191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73.112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1.735.052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1.502.349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107.016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48.502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48.502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199.606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95.164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23.170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308.514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131.240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29.991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42,5%</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389116"/>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8911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2.372.512 €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77.907 €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1.727.359 €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61.580 €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1.432.611 €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69.580 €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18,9 %, contro mediana fascia 41,5.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22,7 %, contro mediana fascia 16,5.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52,3 %, contro mediana fascia 69,3.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21,8 %, contro mediana fascia 14,8.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22,5 dip/1000ab, contro mediana fascia 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29,0 %, contro mediana fascia 49,5.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6,4 %, contro mediana fascia 12,1.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IMU/ICI/TASI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53,6 %,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i tempi di riscossione dell'IMU: attivare la riscossione coattiva, bonificare le banche dati catastali, potenziare l'accertamento.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Camastra,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(2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Camastra,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Camastra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2026-09-26T18:31:57Z</dcterms:created>
  <dcterms:modified xsi:type="dcterms:W3CDTF">2026-09-26T18:31:57Z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