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Agna</w:t>
      </w:r>
    </w:p>
    <w:p>
      <w:pPr>
        <w:spacing w:after="200" w:before="0"/>
      </w:pPr>
      <w:r>
        <w:rPr>
          <w:rFonts w:ascii="Calibri" w:hAnsi="Calibri" w:eastAsia="Calibri" w:cs="Calibri"/>
          <w:b w:val="0"/>
          <w:i w:val="0"/>
          <w:color w:val="656665"/>
          <w:sz w:val="21"/>
        </w:rPr>
        <w:t>Padova  ·  Veneto  ·  3.148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A075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028002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000705707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Agna,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3.148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Padova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Veneto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A075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6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880,0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858,0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110,3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1.356.365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1.095.879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38.634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1.385.638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1.360.488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270.669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1.431.654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1.373.815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36.238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227.379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144.721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34.554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193.455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188.289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315.039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290.698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42.429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238.743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183.705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101.961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309.221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252.576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60.628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291.387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264.714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56.755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90,8%</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1.323.805 €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48.731 €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1.432.457 €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46.436 €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1.134.513 €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42.073 €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1.631.157 €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46.448 €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1.265.093 €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42.256 €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880,0 €/ab, contro mediana fascia 1.563,0.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19,0 %, contro mediana fascia 12,9.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17,9 %, contro mediana fascia 12,1.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Agna,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Agna,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Agna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2026-09-26T18:28:23Z</dcterms:created>
  <dcterms:modified xsi:type="dcterms:W3CDTF">2026-09-26T18:28:23Z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