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Ripatransone</w:t>
      </w:r>
    </w:p>
    <w:p>
      <w:pPr>
        <w:spacing w:after="200" w:before="0"/>
      </w:pPr>
      <w:r>
        <w:rPr>
          <w:rFonts w:ascii="Calibri" w:hAnsi="Calibri" w:eastAsia="Calibri" w:cs="Calibri"/>
          <w:b w:val="0"/>
          <w:i w:val="0"/>
          <w:color w:val="656665"/>
          <w:sz w:val="21"/>
        </w:rPr>
        <w:t>Ascoli Piceno  ·  Marche  ·  4.169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H321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044063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000072360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Ripatransone,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4.169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Ascoli Piceno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Marche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H321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1990.</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1.786,0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872,0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6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1.786,0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1.818,0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332,0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2.683.134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2.252.820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218.563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3.041.044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2.553.042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255.876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3.135.810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2.552.888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394.467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889.139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806.793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159.379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983.115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898.976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38.240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1.341.265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1.203.672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78.832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1.080.826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590.951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247.732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54,7%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869.622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645.010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86.561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691.463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469.301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67,9%</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2.682.800 €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155.881 €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2.663.230 €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117.898 €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2.471.382 €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104.706 €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2.808.918 €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94.134 €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1.991.365 €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80.169 €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26,7 %, contro mediana fascia 38,4.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40,6 %, contro mediana fascia 30,2.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34,6 %, contro mediana fascia 53,3.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Ripatransone,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Ripatransone,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Ripatransone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2026-09-26T16:50:06Z</dcterms:created>
  <dcterms:modified xsi:type="dcterms:W3CDTF">2026-09-26T16:50:06Z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