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Paludi</w:t>
      </w:r>
    </w:p>
    <w:p>
      <w:pPr>
        <w:spacing w:after="200" w:before="0"/>
      </w:pPr>
      <w:r>
        <w:rPr>
          <w:rFonts w:ascii="Calibri" w:hAnsi="Calibri" w:eastAsia="Calibri" w:cs="Calibri"/>
          <w:b w:val="0"/>
          <w:i w:val="0"/>
          <w:color w:val="656665"/>
          <w:sz w:val="21"/>
        </w:rPr>
        <w:t>Cosenza  ·  Calabria  ·  964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G298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078089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000071392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Paludi,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964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Cosenza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Calabria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G298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2.066,0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2.650,0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28,5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3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2.066,0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1.667,0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1.732,0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71,8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729.894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681.870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19.579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744.897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606.922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23.081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760.431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615.690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131.972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390.409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304.980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50.252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78,1%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579.214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360.605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31.763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62,3%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706.590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341.428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64.326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48,3%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160.519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47.957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66.888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29,9%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145.325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36.150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92.009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169.102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37.833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83.662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22,4%</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698.611 €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74.489 €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697.358 €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71.510 €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701.450 €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68.380 €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630.003 €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66.739 €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747.662 €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62.762 €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2.066,0 €/ab, contro mediana fascia 2.650,0.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22,2 %, contro mediana fascia 13,0.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22,7 %, contro mediana fascia 12,8.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16,6 dip/1000ab, contro mediana fascia 7,3.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9,8 %, contro mediana fascia 12,9.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Paludi,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Paludi,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Paludi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2026-09-26T16:49:37Z</dcterms:created>
  <dcterms:modified xsi:type="dcterms:W3CDTF">2026-09-26T16:49:37Z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