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Pinzolo</w:t>
      </w:r>
    </w:p>
    <w:p>
      <w:pPr>
        <w:spacing w:after="200" w:before="0"/>
      </w:pPr>
      <w:r>
        <w:rPr>
          <w:rFonts w:ascii="Calibri" w:hAnsi="Calibri" w:eastAsia="Calibri" w:cs="Calibri"/>
          <w:b w:val="0"/>
          <w:i w:val="0"/>
          <w:color w:val="656665"/>
          <w:sz w:val="21"/>
        </w:rPr>
        <w:t>Trento  ·  Trentino-Alto Adige  ·  3.088 abitanti</w:t>
      </w:r>
    </w:p>
    <w:p>
      <w:pPr>
        <w:spacing w:after="160" w:before="0"/>
      </w:pPr>
      <w:r>
        <w:rPr>
          <w:rFonts w:ascii="Calibri" w:hAnsi="Calibri" w:eastAsia="Calibri" w:cs="Calibri"/>
          <w:b w:val="0"/>
          <w:i w:val="0"/>
          <w:color w:val="333333"/>
          <w:sz w:val="21"/>
        </w:rPr>
        <w:t>Allegato al Rendiconto della gestione, esercizio finanziario 2025.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30/04/2026</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G681</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022143</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000056024</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2025</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2025 ai sensi degli artt. 151 e 227 del D.Lgs. 18 agosto 2000 n. 267 (TUEL) e si propone di rappresentare in modo sintetico, ma analiticamente fondato, lo stato di salute finanziaria dell'ente, Comune di Pinzolo,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3.088</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3.000-4.999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53</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Trento</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24"/>
              </w:rPr>
              <w:t>Trentino-Alto Adige</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G681</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14362"/>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09530"/>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656665"/>
                <w:sz w:val="17"/>
              </w:rPr>
              <w:t>Stabile</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2025</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13,50 %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88,60 %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73,20 %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25,10 %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2025</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7.415,0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1.563,0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1.925,0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45,4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38,4</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25,9</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13,5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12,8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96,4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85,9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69,0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86,7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77,1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46,9</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17,5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30,2</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20,3</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12,0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10,8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2023 → 2025</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21,7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17,2</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4,2</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87,5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76,0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20,9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64,0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16,1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53,3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29,6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12,5</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96,5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81,2</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11,4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3.994,0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3 su 24 organismi partecipati presentano risultato d'esercizio negativo (censimento MEF 2023).</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2023</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12,5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6992"/>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6992"/>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7.333,0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7.415,0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7"/>
              </w:rPr>
              <w:t>+1,1%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7.227,0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8.330,0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+15,3%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44,3</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45,4</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+2,5%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12,6</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13,5</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+7,1%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12,6</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13,5</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+7,1%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96,7</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96,4</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7"/>
              </w:rPr>
              <w:t>-0,3%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103,5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86,7</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-16,2%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3.247,0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3.366,0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+3,7%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7337"/>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7337"/>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52360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52360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10.289.579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9.689.579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605.781</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10.365.061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9.729.409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297.148</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93,9%</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10.781.468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9.555.184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837.956</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88,6%</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2.640.032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817.624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1.203.754</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C4453F"/>
                <w:sz w:val="17"/>
              </w:rPr>
              <w:t>31,0%</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2.091.467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1.540.028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1.541.593</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73,6%</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3.181.021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1.649.911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397.224</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51,9%</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3.595.667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2.188.296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1.260.745</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60,9%</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4.018.453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2.794.350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1.364.817</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69,5%</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5.896.845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3.663.505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1.451.739</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62,1%</w:t>
            </w:r>
          </w:p>
        </w:tc>
      </w:tr>
    </w:tbl>
    <w:p>
      <w:pPr>
        <w:spacing w:after="120" w:before="0"/>
      </w:pPr>
    </w:p>
    <w:p>
      <w:pPr>
        <w:pStyle w:val="Heading2"/>
      </w:pPr>
      <w:r>
        <w:rPr>
          <w:rFonts w:ascii="Calibri" w:hAnsi="Calibri" w:eastAsia="Calibri" w:cs="Calibri"/>
          <w:b/>
          <w:i w:val="0"/>
          <w:color w:val="1A396B"/>
          <w:sz w:val="24"/>
        </w:rPr>
        <w:t>7.1  Composizione delle entrate, anno 2025</w:t>
      </w:r>
    </w:p>
    <w:p>
      <w:pPr>
        <w:spacing w:after="40" w:before="80"/>
        <w:jc w:val="center"/>
      </w:pPr>
      <w:r>
        <w:drawing>
          <wp:inline xmlns:a="http://schemas.openxmlformats.org/drawingml/2006/main" xmlns:pic="http://schemas.openxmlformats.org/drawingml/2006/picture">
            <wp:extent cx="5040000" cy="3409799"/>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0979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9.527.167 €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36.781 €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0,39%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10.208.207 €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22.335 €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0,22%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2023</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10.295.360 €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8.336 €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0,08%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2024</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10.026.557 €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0,00%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2025</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10.393.140 €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0,00%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Dipendenti per 1000 abitanti</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17,2 dip/1000ab, contro mediana fascia 4,2.</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Verificare il piano dei fabbisogni, razionalizzare la dotazione organica, favorire la digitalizzazione dei servizi.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Tributi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20,9 %, contro mediana fascia 64,0.</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l'accantonamento al FCDE per coprire adeguatamente i crediti di dubbia esigibilità tributari. Verificare la congruità del fondo rispetto alla media dei residui storicamente non riscossi.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Globale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16,1 %, contro mediana fascia 53,3.</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Adeguare il fondo FCDE alla consistenza dei residui attivi a rischio, includendo sia le entrate tributarie che le extratributarie (sanzioni, canoni, proventi).</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Pinzolo, alla chiusura dell'esercizio 2025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Pinzolo,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2025  ·  Comune di Pinzolo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2026-09-26T16:55:01Z</dcterms:created>
  <dcterms:modified xsi:type="dcterms:W3CDTF">2026-09-26T16:55:01Z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