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 Id="rIdCustomOT" Type="http://schemas.openxmlformats.org/officeDocument/2006/relationships/custom-properties" Target="docProps/custom.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0" w:line="240" w:lineRule="auto"/>
        <w:sectPr>
          <w:pgSz w:w="11906" w:h="16838"/>
          <w:pgMar w:top="0" w:right="0" w:bottom="0" w:left="0" w:header="0" w:footer="0" w:gutter="0"/>
          <w:cols w:space="720"/>
          <w:docGrid w:linePitch="360"/>
        </w:sectPr>
      </w:pPr>
      <w:r>
        <w:drawing>
          <wp:inline xmlns:a="http://schemas.openxmlformats.org/drawingml/2006/main" xmlns:pic="http://schemas.openxmlformats.org/drawingml/2006/picture" distT="0" distB="0" distL="0" distR="0">
            <wp:extent cx="7560000" cy="10692000"/>
            <wp:docPr id="1" name="Copertina" descr="Copertina"/>
            <wp:cNvGraphicFramePr>
              <a:graphicFrameLocks noChangeAspect="1"/>
            </wp:cNvGraphicFramePr>
            <a:graphic>
              <a:graphicData uri="http://schemas.openxmlformats.org/drawingml/2006/picture">
                <pic:pic>
                  <pic:nvPicPr>
                    <pic:cNvPr id="0" name="image.png"/>
                    <pic:cNvPicPr/>
                  </pic:nvPicPr>
                  <pic:blipFill>
                    <a:blip r:embed="rId9"/>
                    <a:stretch>
                      <a:fillRect/>
                    </a:stretch>
                  </pic:blipFill>
                  <pic:spPr>
                    <a:xfrm>
                      <a:off x="0" y="0"/>
                      <a:ext cx="7560000" cy="10692000"/>
                    </a:xfrm>
                    <a:prstGeom prst="rect"/>
                  </pic:spPr>
                </pic:pic>
              </a:graphicData>
            </a:graphic>
          </wp:inline>
        </w:drawing>
      </w:r>
    </w:p>
    <w:p>
      <w:pPr>
        <w:pStyle w:val="Heading1"/>
        <w:pBdr>
          <w:bottom w:val="single" w:sz="8" w:space="4" w:color="C7951E"/>
        </w:pBdr>
      </w:pPr>
      <w:r>
        <w:rPr>
          <w:rFonts w:ascii="Calibri" w:hAnsi="Calibri" w:eastAsia="Calibri" w:cs="Calibri"/>
          <w:b/>
          <w:i w:val="0"/>
          <w:color w:val="0F2246"/>
          <w:sz w:val="30"/>
        </w:rPr>
        <w:t>Scheda della relazione</w:t>
      </w:r>
    </w:p>
    <w:p>
      <w:pPr>
        <w:spacing w:after="40" w:before="0"/>
      </w:pPr>
      <w:r>
        <w:rPr>
          <w:rFonts w:ascii="Calibri" w:hAnsi="Calibri" w:eastAsia="Calibri" w:cs="Calibri"/>
          <w:b/>
          <w:i w:val="0"/>
          <w:color w:val="0F2246"/>
          <w:sz w:val="32"/>
        </w:rPr>
        <w:t>Comune di San Felice del Molise</w:t>
      </w:r>
    </w:p>
    <w:p>
      <w:pPr>
        <w:spacing w:after="200" w:before="0"/>
      </w:pPr>
      <w:r>
        <w:rPr>
          <w:rFonts w:ascii="Calibri" w:hAnsi="Calibri" w:eastAsia="Calibri" w:cs="Calibri"/>
          <w:b w:val="0"/>
          <w:i w:val="0"/>
          <w:color w:val="656665"/>
          <w:sz w:val="21"/>
        </w:rPr>
        <w:t>Campobasso  ·  Molise  ·  532 abitanti</w:t>
      </w:r>
    </w:p>
    <w:p>
      <w:pPr>
        <w:spacing w:after="160" w:before="0"/>
      </w:pPr>
      <w:r>
        <w:rPr>
          <w:rFonts w:ascii="Calibri" w:hAnsi="Calibri" w:eastAsia="Calibri" w:cs="Calibri"/>
          <w:b w:val="0"/>
          <w:i w:val="0"/>
          <w:color w:val="333333"/>
          <w:sz w:val="21"/>
        </w:rPr>
        <w:t>Allegato al Rendiconto della gestione, esercizio finanziario 2021. Relazione sul monitoraggio degli indicatori e dei parametri di deficitarietà.</w:t>
      </w:r>
    </w:p>
    <w:tbl>
      <w:tblPr>
        <w:tblW w:type="dxa" w:w="9636"/>
        <w:jc w:val="center"/>
        <w:tblLayout w:type="fixed"/>
        <w:tblLook w:firstColumn="1" w:firstRow="1" w:lastColumn="0" w:lastRow="0" w:noHBand="0" w:noVBand="1" w:val="04A0"/>
      </w:tblPr>
      <w:tblGrid>
        <w:gridCol w:w="2409"/>
        <w:gridCol w:w="2409"/>
        <w:gridCol w:w="2409"/>
        <w:gridCol w:w="2409"/>
      </w:tblGrid>
      <w:tr>
        <w:trPr>
          <w:cantSplit/>
        </w:trPr>
        <w:tc>
          <w:tcPr>
            <w:tcW w:type="dxa" w:w="2409"/>
            <w:tcBorders>
              <w:top w:val="single" w:sz="12" w:color="FFFFFF"/>
              <w:left w:val="single" w:sz="12" w:color="FFFFFF"/>
              <w:bottom w:val="single" w:sz="18" w:color="C7951E"/>
              <w:right w:val="single" w:sz="12" w:color="FFFFFF"/>
            </w:tcBorders>
            <w:shd w:val="clear" w:color="auto" w:fill="0F2246"/>
            <w:tcMar>
              <w:top w:w="110" w:type="dxa"/>
              <w:left w:w="90" w:type="dxa"/>
              <w:bottom w:w="110" w:type="dxa"/>
              <w:right w:w="90" w:type="dxa"/>
            </w:tcMar>
          </w:tcPr>
          <w:p>
            <w:pPr>
              <w:spacing w:after="20"/>
              <w:jc w:val="center"/>
            </w:pPr>
            <w:r>
              <w:rPr>
                <w:rFonts w:ascii="Calibri" w:hAnsi="Calibri" w:eastAsia="Calibri" w:cs="Calibri"/>
                <w:b/>
                <w:i w:val="0"/>
                <w:color w:val="FFFFFF"/>
                <w:sz w:val="40"/>
              </w:rPr>
              <w:t>OTTIMO</w:t>
            </w:r>
          </w:p>
          <w:p>
            <w:pPr>
              <w:spacing w:after="0"/>
              <w:jc w:val="center"/>
            </w:pPr>
            <w:r>
              <w:rPr>
                <w:rFonts w:ascii="Calibri" w:hAnsi="Calibri" w:eastAsia="Calibri" w:cs="Calibri"/>
                <w:b/>
                <w:i w:val="0"/>
                <w:color w:val="E8B84A"/>
                <w:sz w:val="17"/>
              </w:rPr>
              <w:t>ESITO COMPLESSIVO</w:t>
            </w:r>
          </w:p>
        </w:tc>
        <w:tc>
          <w:tcPr>
            <w:tcW w:type="dxa" w:w="2409"/>
            <w:tcBorders>
              <w:top w:val="single" w:sz="12" w:color="FFFFFF"/>
              <w:left w:val="single" w:sz="12" w:color="FFFFFF"/>
              <w:bottom w:val="single" w:sz="18" w:color="C7951E"/>
              <w:right w:val="single" w:sz="12" w:color="FFFFFF"/>
            </w:tcBorders>
            <w:shd w:val="clear" w:color="auto" w:fill="0F2246"/>
            <w:tcMar>
              <w:top w:w="110" w:type="dxa"/>
              <w:left w:w="90" w:type="dxa"/>
              <w:bottom w:w="110" w:type="dxa"/>
              <w:right w:w="90" w:type="dxa"/>
            </w:tcMar>
          </w:tcPr>
          <w:p>
            <w:pPr>
              <w:spacing w:after="20"/>
              <w:jc w:val="center"/>
            </w:pPr>
            <w:r>
              <w:rPr>
                <w:rFonts w:ascii="Calibri" w:hAnsi="Calibri" w:eastAsia="Calibri" w:cs="Calibri"/>
                <w:b/>
                <w:i w:val="0"/>
                <w:color w:val="FFFFFF"/>
                <w:sz w:val="40"/>
              </w:rPr>
              <w:t>0 su 6</w:t>
            </w:r>
          </w:p>
          <w:p>
            <w:pPr>
              <w:spacing w:after="0"/>
              <w:jc w:val="center"/>
            </w:pPr>
            <w:r>
              <w:rPr>
                <w:rFonts w:ascii="Calibri" w:hAnsi="Calibri" w:eastAsia="Calibri" w:cs="Calibri"/>
                <w:b/>
                <w:i w:val="0"/>
                <w:color w:val="E8B84A"/>
                <w:sz w:val="17"/>
              </w:rPr>
              <w:t>PARAMETRI CRITICI</w:t>
            </w:r>
          </w:p>
          <w:p>
            <w:pPr>
              <w:spacing w:after="0"/>
              <w:jc w:val="center"/>
            </w:pPr>
            <w:r>
              <w:rPr>
                <w:rFonts w:ascii="Calibri" w:hAnsi="Calibri" w:eastAsia="Calibri" w:cs="Calibri"/>
                <w:b w:val="0"/>
                <w:i w:val="0"/>
                <w:color w:val="B5C2D6"/>
                <w:sz w:val="15"/>
              </w:rPr>
              <w:t>su quelli calcolabili</w:t>
            </w:r>
          </w:p>
        </w:tc>
        <w:tc>
          <w:tcPr>
            <w:tcW w:type="dxa" w:w="2409"/>
            <w:tcBorders>
              <w:top w:val="single" w:sz="12" w:color="FFFFFF"/>
              <w:left w:val="single" w:sz="12" w:color="FFFFFF"/>
              <w:bottom w:val="single" w:sz="18" w:color="C7951E"/>
              <w:right w:val="single" w:sz="12" w:color="FFFFFF"/>
            </w:tcBorders>
            <w:shd w:val="clear" w:color="auto" w:fill="0F2246"/>
            <w:tcMar>
              <w:top w:w="110" w:type="dxa"/>
              <w:left w:w="90" w:type="dxa"/>
              <w:bottom w:w="110" w:type="dxa"/>
              <w:right w:w="90" w:type="dxa"/>
            </w:tcMar>
          </w:tcPr>
          <w:p>
            <w:pPr>
              <w:spacing w:after="20"/>
              <w:jc w:val="center"/>
            </w:pPr>
            <w:r>
              <w:rPr>
                <w:rFonts w:ascii="Calibri" w:hAnsi="Calibri" w:eastAsia="Calibri" w:cs="Calibri"/>
                <w:b/>
                <w:i w:val="0"/>
                <w:color w:val="FFFFFF"/>
                <w:sz w:val="40"/>
              </w:rPr>
              <w:t>30/04/2022</w:t>
            </w:r>
          </w:p>
          <w:p>
            <w:pPr>
              <w:spacing w:after="0"/>
              <w:jc w:val="center"/>
            </w:pPr>
            <w:r>
              <w:rPr>
                <w:rFonts w:ascii="Calibri" w:hAnsi="Calibri" w:eastAsia="Calibri" w:cs="Calibri"/>
                <w:b/>
                <w:i w:val="0"/>
                <w:color w:val="E8B84A"/>
                <w:sz w:val="17"/>
              </w:rPr>
              <w:t>APPROVAZIONE</w:t>
            </w:r>
          </w:p>
          <w:p>
            <w:pPr>
              <w:spacing w:after="0"/>
              <w:jc w:val="center"/>
            </w:pPr>
            <w:r>
              <w:rPr>
                <w:rFonts w:ascii="Calibri" w:hAnsi="Calibri" w:eastAsia="Calibri" w:cs="Calibri"/>
                <w:b w:val="0"/>
                <w:i w:val="0"/>
                <w:color w:val="B5C2D6"/>
                <w:sz w:val="15"/>
              </w:rPr>
              <w:t>termine del rendiconto</w:t>
            </w:r>
          </w:p>
        </w:tc>
        <w:tc>
          <w:tcPr>
            <w:tcW w:type="dxa" w:w="2409"/>
            <w:tcBorders>
              <w:top w:val="single" w:sz="12" w:color="FFFFFF"/>
              <w:left w:val="single" w:sz="12" w:color="FFFFFF"/>
              <w:bottom w:val="single" w:sz="18" w:color="C7951E"/>
              <w:right w:val="single" w:sz="12" w:color="FFFFFF"/>
            </w:tcBorders>
            <w:shd w:val="clear" w:color="auto" w:fill="0F2246"/>
            <w:tcMar>
              <w:top w:w="110" w:type="dxa"/>
              <w:left w:w="90" w:type="dxa"/>
              <w:bottom w:w="110" w:type="dxa"/>
              <w:right w:w="90" w:type="dxa"/>
            </w:tcMar>
          </w:tcPr>
          <w:p>
            <w:pPr>
              <w:spacing w:after="20"/>
              <w:jc w:val="center"/>
            </w:pPr>
            <w:r>
              <w:rPr>
                <w:rFonts w:ascii="Calibri" w:hAnsi="Calibri" w:eastAsia="Calibri" w:cs="Calibri"/>
                <w:b/>
                <w:i w:val="0"/>
                <w:color w:val="FFFFFF"/>
                <w:sz w:val="40"/>
              </w:rPr>
              <w:t>26/09/2026</w:t>
            </w:r>
          </w:p>
          <w:p>
            <w:pPr>
              <w:spacing w:after="0"/>
              <w:jc w:val="center"/>
            </w:pPr>
            <w:r>
              <w:rPr>
                <w:rFonts w:ascii="Calibri" w:hAnsi="Calibri" w:eastAsia="Calibri" w:cs="Calibri"/>
                <w:b/>
                <w:i w:val="0"/>
                <w:color w:val="E8B84A"/>
                <w:sz w:val="17"/>
              </w:rPr>
              <w:t>DATA</w:t>
            </w:r>
          </w:p>
          <w:p>
            <w:pPr>
              <w:spacing w:after="0"/>
              <w:jc w:val="center"/>
            </w:pPr>
            <w:r>
              <w:rPr>
                <w:rFonts w:ascii="Calibri" w:hAnsi="Calibri" w:eastAsia="Calibri" w:cs="Calibri"/>
                <w:b w:val="0"/>
                <w:i w:val="0"/>
                <w:color w:val="B5C2D6"/>
                <w:sz w:val="15"/>
              </w:rPr>
              <w:t>di elaborazione</w:t>
            </w:r>
          </w:p>
        </w:tc>
      </w:tr>
    </w:tbl>
    <w:p>
      <w:pPr>
        <w:spacing w:after="120" w:before="0"/>
      </w:pPr>
    </w:p>
    <w:p>
      <w:pPr>
        <w:keepNext/>
        <w:spacing w:after="40" w:before="80"/>
        <w:jc w:val="center"/>
      </w:pPr>
      <w:r>
        <w:drawing>
          <wp:inline xmlns:a="http://schemas.openxmlformats.org/drawingml/2006/main" xmlns:pic="http://schemas.openxmlformats.org/drawingml/2006/picture">
            <wp:extent cx="1800000" cy="1800000"/>
            <wp:docPr id="2" name="Picture 2"/>
            <wp:cNvGraphicFramePr>
              <a:graphicFrameLocks noChangeAspect="1"/>
            </wp:cNvGraphicFramePr>
            <a:graphic>
              <a:graphicData uri="http://schemas.openxmlformats.org/drawingml/2006/picture">
                <pic:pic>
                  <pic:nvPicPr>
                    <pic:cNvPr id="0" name="image.png"/>
                    <pic:cNvPicPr/>
                  </pic:nvPicPr>
                  <pic:blipFill>
                    <a:blip r:embed="rId12"/>
                    <a:stretch>
                      <a:fillRect/>
                    </a:stretch>
                  </pic:blipFill>
                  <pic:spPr>
                    <a:xfrm>
                      <a:off x="0" y="0"/>
                      <a:ext cx="1800000" cy="1800000"/>
                    </a:xfrm>
                    <a:prstGeom prst="rect"/>
                  </pic:spPr>
                </pic:pic>
              </a:graphicData>
            </a:graphic>
          </wp:inline>
        </w:drawing>
      </w:r>
    </w:p>
    <w:p>
      <w:pPr>
        <w:spacing w:after="200" w:before="0"/>
        <w:jc w:val="center"/>
      </w:pPr>
      <w:r>
        <w:rPr>
          <w:rFonts w:ascii="Calibri" w:hAnsi="Calibri" w:eastAsia="Calibri" w:cs="Calibri"/>
          <w:b w:val="0"/>
          <w:i/>
          <w:color w:val="656665"/>
          <w:sz w:val="17"/>
        </w:rPr>
        <w:t>Figura 1. Esito sintetico: parametri critici su quelli calcolabili.</w:t>
      </w:r>
    </w:p>
    <w:tbl>
      <w:tblPr>
        <w:tblW w:type="dxa" w:w="9638"/>
        <w:jc w:val="center"/>
        <w:tblLayout w:type="fixed"/>
        <w:tblLook w:firstColumn="1" w:firstRow="1" w:lastColumn="0" w:lastRow="0" w:noHBand="0" w:noVBand="1" w:val="04A0"/>
      </w:tblPr>
      <w:tblGrid>
        <w:gridCol w:w="3402"/>
        <w:gridCol w:w="6236"/>
      </w:tblGrid>
      <w:tr>
        <w:trPr>
          <w:cantSplit/>
          <w:tblHeader/>
        </w:trPr>
        <w:tc>
          <w:tcPr>
            <w:tcW w:type="dxa" w:w="3402"/>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7"/>
              </w:rPr>
              <w:t>Dato</w:t>
            </w:r>
          </w:p>
        </w:tc>
        <w:tc>
          <w:tcPr>
            <w:tcW w:type="dxa" w:w="6236"/>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7"/>
              </w:rPr>
              <w:t>Valore</w:t>
            </w:r>
          </w:p>
        </w:tc>
      </w:tr>
      <w:tr>
        <w:trPr>
          <w:cantSplit/>
        </w:trPr>
        <w:tc>
          <w:tcPr>
            <w:tcW w:type="dxa" w:w="3402"/>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Codice catastale</w:t>
            </w:r>
          </w:p>
        </w:tc>
        <w:tc>
          <w:tcPr>
            <w:tcW w:type="dxa" w:w="6236"/>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H833</w:t>
            </w:r>
          </w:p>
        </w:tc>
      </w:tr>
      <w:tr>
        <w:trPr>
          <w:cantSplit/>
        </w:trPr>
        <w:tc>
          <w:tcPr>
            <w:tcW w:type="dxa" w:w="3402"/>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Codice ISTAT</w:t>
            </w:r>
          </w:p>
        </w:tc>
        <w:tc>
          <w:tcPr>
            <w:tcW w:type="dxa" w:w="6236"/>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070064</w:t>
            </w:r>
          </w:p>
        </w:tc>
      </w:tr>
      <w:tr>
        <w:trPr>
          <w:cantSplit/>
        </w:trPr>
        <w:tc>
          <w:tcPr>
            <w:tcW w:type="dxa" w:w="3402"/>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Codice ente (SIOPE)</w:t>
            </w:r>
          </w:p>
        </w:tc>
        <w:tc>
          <w:tcPr>
            <w:tcW w:type="dxa" w:w="6236"/>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000027406</w:t>
            </w:r>
          </w:p>
        </w:tc>
      </w:tr>
      <w:tr>
        <w:trPr>
          <w:cantSplit/>
        </w:trPr>
        <w:tc>
          <w:tcPr>
            <w:tcW w:type="dxa" w:w="3402"/>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Esercizio finanziario</w:t>
            </w:r>
          </w:p>
        </w:tc>
        <w:tc>
          <w:tcPr>
            <w:tcW w:type="dxa" w:w="6236"/>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2021</w:t>
            </w:r>
          </w:p>
        </w:tc>
      </w:tr>
      <w:tr>
        <w:trPr>
          <w:cantSplit/>
        </w:trPr>
        <w:tc>
          <w:tcPr>
            <w:tcW w:type="dxa" w:w="3402"/>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Approvazione del rendiconto</w:t>
            </w:r>
          </w:p>
        </w:tc>
        <w:tc>
          <w:tcPr>
            <w:tcW w:type="dxa" w:w="6236"/>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entro il 30/04/2022</w:t>
            </w:r>
          </w:p>
        </w:tc>
      </w:tr>
      <w:tr>
        <w:trPr>
          <w:cantSplit/>
        </w:trPr>
        <w:tc>
          <w:tcPr>
            <w:tcW w:type="dxa" w:w="3402"/>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Data di elaborazione</w:t>
            </w:r>
          </w:p>
        </w:tc>
        <w:tc>
          <w:tcPr>
            <w:tcW w:type="dxa" w:w="6236"/>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26/09/2026</w:t>
            </w:r>
          </w:p>
        </w:tc>
      </w:tr>
    </w:tbl>
    <w:p>
      <w:pPr>
        <w:spacing w:after="120" w:before="0"/>
      </w:pPr>
    </w:p>
    <w:tbl>
      <w:tblPr>
        <w:tblW w:type="dxa" w:w="9638"/>
        <w:jc w:val="center"/>
        <w:tblLayout w:type="fixed"/>
        <w:tblLook w:firstColumn="1" w:firstRow="1" w:lastColumn="0" w:lastRow="0" w:noHBand="0" w:noVBand="1" w:val="04A0"/>
      </w:tblPr>
      <w:tblGrid>
        <w:gridCol w:w="9638"/>
      </w:tblGrid>
      <w:tr>
        <w:trPr>
          <w:cantSplit/>
        </w:trPr>
        <w:tc>
          <w:tcPr>
            <w:tcW w:type="dxa" w:w="9638"/>
            <w:tcBorders>
              <w:top w:val="nil"/>
              <w:left w:val="single" w:sz="36" w:color="1A396B"/>
              <w:bottom w:val="nil"/>
              <w:right w:val="nil"/>
            </w:tcBorders>
            <w:shd w:val="clear" w:color="auto" w:fill="EEF1F6"/>
            <w:tcMar>
              <w:top w:w="110" w:type="dxa"/>
              <w:left w:w="200" w:type="dxa"/>
              <w:bottom w:w="110" w:type="dxa"/>
              <w:right w:w="160" w:type="dxa"/>
            </w:tcMar>
          </w:tcPr>
          <w:p>
            <w:pPr>
              <w:spacing w:after="60"/>
            </w:pPr>
            <w:r>
              <w:rPr>
                <w:rFonts w:ascii="Calibri" w:hAnsi="Calibri" w:eastAsia="Calibri" w:cs="Calibri"/>
                <w:b/>
                <w:i w:val="0"/>
                <w:color w:val="1A396B"/>
                <w:sz w:val="19"/>
              </w:rPr>
              <w:t>Fonti ed elaborazione</w:t>
            </w:r>
          </w:p>
          <w:p>
            <w:pPr>
              <w:spacing w:after="40"/>
              <w:jc w:val="both"/>
            </w:pPr>
            <w:r>
              <w:rPr>
                <w:rFonts w:ascii="Calibri" w:hAnsi="Calibri" w:eastAsia="Calibri" w:cs="Calibri"/>
                <w:b w:val="0"/>
                <w:i w:val="0"/>
                <w:color w:val="333333"/>
                <w:sz w:val="20"/>
              </w:rPr>
              <w:t>Documento elaborato con il supporto del cruscotto Officina Tributaria sui dati open BDAP, SIOPE, Conto Annuale RGS, ISPRA, Allegato l (art. 242 TUEL).</w:t>
            </w:r>
          </w:p>
        </w:tc>
      </w:tr>
    </w:tbl>
    <w:p>
      <w:pPr>
        <w:spacing w:after="80" w:before="0"/>
      </w:pPr>
    </w:p>
    <w:p>
      <w:pPr>
        <w:pStyle w:val="Heading1"/>
        <w:pageBreakBefore/>
        <w:pBdr>
          <w:bottom w:val="single" w:sz="8" w:space="4" w:color="C7951E"/>
        </w:pBdr>
      </w:pPr>
      <w:r>
        <w:rPr>
          <w:rFonts w:ascii="Calibri" w:hAnsi="Calibri" w:eastAsia="Calibri" w:cs="Calibri"/>
          <w:b/>
          <w:i w:val="0"/>
          <w:color w:val="C7951E"/>
          <w:sz w:val="30"/>
        </w:rPr>
        <w:t xml:space="preserve">1.  </w:t>
      </w:r>
      <w:r>
        <w:rPr>
          <w:rFonts w:ascii="Calibri" w:hAnsi="Calibri" w:eastAsia="Calibri" w:cs="Calibri"/>
          <w:b/>
          <w:i w:val="0"/>
          <w:color w:val="0F2246"/>
          <w:sz w:val="30"/>
        </w:rPr>
        <w:t>Premessa metodologica e fonti dati</w:t>
      </w:r>
    </w:p>
    <w:p>
      <w:pPr>
        <w:spacing w:after="120" w:before="0"/>
        <w:jc w:val="both"/>
      </w:pPr>
      <w:r>
        <w:rPr>
          <w:rFonts w:ascii="Calibri" w:hAnsi="Calibri" w:eastAsia="Calibri" w:cs="Calibri"/>
          <w:b w:val="0"/>
          <w:i w:val="0"/>
          <w:color w:val="333333"/>
          <w:sz w:val="21"/>
        </w:rPr>
        <w:t>La presente Relazione costituisce allegato al Rendiconto della gestione dell'esercizio finanziario 2021 ai sensi degli artt. 151 e 227 del D.Lgs. 18 agosto 2000 n. 267 (TUEL) e si propone di rappresentare in modo sintetico, ma analiticamente fondato, lo stato di salute finanziaria dell'ente, Comune di San Felice del Molise, alla luce dei principali indicatori di rischio e dei parametri obiettivi di deficitarietà strutturale.</w:t>
      </w:r>
    </w:p>
    <w:p>
      <w:pPr>
        <w:spacing w:after="120" w:before="0"/>
        <w:jc w:val="both"/>
      </w:pPr>
      <w:r>
        <w:rPr>
          <w:rFonts w:ascii="Calibri" w:hAnsi="Calibri" w:eastAsia="Calibri" w:cs="Calibri"/>
          <w:b w:val="0"/>
          <w:i w:val="0"/>
          <w:color w:val="333333"/>
          <w:sz w:val="21"/>
        </w:rPr>
        <w:t>Il documento è articolato su sei sezioni tematiche (parametri di deficitarietà, indicatori di rischio, trend pluriennale, riscossione e gestione residui, indebitamento, criticità SezAut) e si chiude con una sintesi conclusiva firmata dal Responsabile del Servizio Finanziario. Per ciascun indicatore sono riportati la fonte dei dati, l'anno di riferimento, il valore osservato, la soglia di attenzione e l'esito.</w:t>
      </w:r>
    </w:p>
    <w:p>
      <w:pPr>
        <w:keepNext/>
        <w:spacing w:after="60" w:before="80"/>
      </w:pPr>
      <w:r>
        <w:rPr>
          <w:rFonts w:ascii="Calibri" w:hAnsi="Calibri" w:eastAsia="Calibri" w:cs="Calibri"/>
          <w:b/>
          <w:i w:val="0"/>
          <w:color w:val="0F2246"/>
          <w:sz w:val="18"/>
        </w:rPr>
        <w:t>Tabella 1. Fonti dei dati</w:t>
      </w:r>
    </w:p>
    <w:tbl>
      <w:tblPr>
        <w:tblW w:type="dxa" w:w="9638"/>
        <w:jc w:val="center"/>
        <w:tblLayout w:type="fixed"/>
        <w:tblLook w:firstColumn="1" w:firstRow="1" w:lastColumn="0" w:lastRow="0" w:noHBand="0" w:noVBand="1" w:val="04A0"/>
      </w:tblPr>
      <w:tblGrid>
        <w:gridCol w:w="2835"/>
        <w:gridCol w:w="6803"/>
      </w:tblGrid>
      <w:tr>
        <w:trPr>
          <w:cantSplit/>
          <w:tblHeader/>
        </w:trPr>
        <w:tc>
          <w:tcPr>
            <w:tcW w:type="dxa" w:w="2835"/>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7"/>
              </w:rPr>
              <w:t>Fonte dati</w:t>
            </w:r>
          </w:p>
        </w:tc>
        <w:tc>
          <w:tcPr>
            <w:tcW w:type="dxa" w:w="6803"/>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7"/>
              </w:rPr>
              <w:t>Contenuto</w:t>
            </w:r>
          </w:p>
        </w:tc>
      </w:tr>
      <w:tr>
        <w:trPr>
          <w:cantSplit/>
        </w:trPr>
        <w:tc>
          <w:tcPr>
            <w:tcW w:type="dxa" w:w="283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BDAP</w:t>
            </w:r>
          </w:p>
        </w:tc>
        <w:tc>
          <w:tcPr>
            <w:tcW w:type="dxa" w:w="6803"/>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Banca Dati Amministrazioni Pubbliche, MEF, RGS</w:t>
            </w:r>
          </w:p>
        </w:tc>
      </w:tr>
      <w:tr>
        <w:trPr>
          <w:cantSplit/>
        </w:trPr>
        <w:tc>
          <w:tcPr>
            <w:tcW w:type="dxa" w:w="283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SIOPE</w:t>
            </w:r>
          </w:p>
        </w:tc>
        <w:tc>
          <w:tcPr>
            <w:tcW w:type="dxa" w:w="6803"/>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Sistema Informativo sulle Operazioni degli Enti Pubblici, dati di cassa aggiornati</w:t>
            </w:r>
          </w:p>
        </w:tc>
      </w:tr>
      <w:tr>
        <w:trPr>
          <w:cantSplit/>
        </w:trPr>
        <w:tc>
          <w:tcPr>
            <w:tcW w:type="dxa" w:w="283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Rendiconto armonizzato</w:t>
            </w:r>
          </w:p>
        </w:tc>
        <w:tc>
          <w:tcPr>
            <w:tcW w:type="dxa" w:w="6803"/>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Schemi di bilancio ex D.Lgs. 118/2011, Allegato 4/2</w:t>
            </w:r>
          </w:p>
        </w:tc>
      </w:tr>
      <w:tr>
        <w:trPr>
          <w:cantSplit/>
        </w:trPr>
        <w:tc>
          <w:tcPr>
            <w:tcW w:type="dxa" w:w="283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Allegato l</w:t>
            </w:r>
          </w:p>
        </w:tc>
        <w:tc>
          <w:tcPr>
            <w:tcW w:type="dxa" w:w="6803"/>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Ai sensi dell'art. 242 TUEL, parametri obiettivi D.M. 4 agosto 2023</w:t>
            </w:r>
          </w:p>
        </w:tc>
      </w:tr>
      <w:tr>
        <w:trPr>
          <w:cantSplit/>
        </w:trPr>
        <w:tc>
          <w:tcPr>
            <w:tcW w:type="dxa" w:w="283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Conto Annuale RGS</w:t>
            </w:r>
          </w:p>
        </w:tc>
        <w:tc>
          <w:tcPr>
            <w:tcW w:type="dxa" w:w="6803"/>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Dotazione organica e spesa di personale</w:t>
            </w:r>
          </w:p>
        </w:tc>
      </w:tr>
      <w:tr>
        <w:trPr>
          <w:cantSplit/>
        </w:trPr>
        <w:tc>
          <w:tcPr>
            <w:tcW w:type="dxa" w:w="283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Sezione Autonomie Corte dei conti</w:t>
            </w:r>
          </w:p>
        </w:tc>
        <w:tc>
          <w:tcPr>
            <w:tcW w:type="dxa" w:w="6803"/>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Delibere 8/2024 e 8/2025</w:t>
            </w:r>
          </w:p>
        </w:tc>
      </w:tr>
    </w:tbl>
    <w:p>
      <w:pPr>
        <w:spacing w:after="120" w:before="0"/>
      </w:pPr>
    </w:p>
    <w:p>
      <w:pPr>
        <w:pStyle w:val="Heading1"/>
        <w:pageBreakBefore/>
        <w:pBdr>
          <w:bottom w:val="single" w:sz="8" w:space="4" w:color="C7951E"/>
        </w:pBdr>
      </w:pPr>
      <w:r>
        <w:rPr>
          <w:rFonts w:ascii="Calibri" w:hAnsi="Calibri" w:eastAsia="Calibri" w:cs="Calibri"/>
          <w:b/>
          <w:i w:val="0"/>
          <w:color w:val="C7951E"/>
          <w:sz w:val="30"/>
        </w:rPr>
        <w:t xml:space="preserve">2.  </w:t>
      </w:r>
      <w:r>
        <w:rPr>
          <w:rFonts w:ascii="Calibri" w:hAnsi="Calibri" w:eastAsia="Calibri" w:cs="Calibri"/>
          <w:b/>
          <w:i w:val="0"/>
          <w:color w:val="0F2246"/>
          <w:sz w:val="30"/>
        </w:rPr>
        <w:t>Quadro sintetico dell'ente</w:t>
      </w:r>
    </w:p>
    <w:tbl>
      <w:tblPr>
        <w:tblW w:type="dxa" w:w="9639"/>
        <w:jc w:val="center"/>
        <w:tblLayout w:type="fixed"/>
        <w:tblLook w:firstColumn="1" w:firstRow="1" w:lastColumn="0" w:lastRow="0" w:noHBand="0" w:noVBand="1" w:val="04A0"/>
      </w:tblPr>
      <w:tblGrid>
        <w:gridCol w:w="3213"/>
        <w:gridCol w:w="3213"/>
        <w:gridCol w:w="3213"/>
      </w:tblGrid>
      <w:tr>
        <w:trPr>
          <w:cantSplit/>
        </w:trPr>
        <w:tc>
          <w:tcPr>
            <w:tcW w:type="dxa" w:w="3213"/>
            <w:tcBorders>
              <w:top w:val="single" w:sz="12" w:color="FFFFFF"/>
              <w:left w:val="single" w:sz="12" w:color="FFFFFF"/>
              <w:bottom w:val="single" w:sz="18" w:color="C7951E"/>
              <w:right w:val="single" w:sz="12" w:color="FFFFFF"/>
            </w:tcBorders>
            <w:shd w:val="clear" w:color="auto" w:fill="0F2246"/>
            <w:tcMar>
              <w:top w:w="110" w:type="dxa"/>
              <w:left w:w="90" w:type="dxa"/>
              <w:bottom w:w="110" w:type="dxa"/>
              <w:right w:w="90" w:type="dxa"/>
            </w:tcMar>
          </w:tcPr>
          <w:p>
            <w:pPr>
              <w:spacing w:after="20"/>
              <w:jc w:val="center"/>
            </w:pPr>
            <w:r>
              <w:rPr>
                <w:rFonts w:ascii="Calibri" w:hAnsi="Calibri" w:eastAsia="Calibri" w:cs="Calibri"/>
                <w:b/>
                <w:i w:val="0"/>
                <w:color w:val="FFFFFF"/>
                <w:sz w:val="40"/>
              </w:rPr>
              <w:t>532</w:t>
            </w:r>
          </w:p>
          <w:p>
            <w:pPr>
              <w:spacing w:after="0"/>
              <w:jc w:val="center"/>
            </w:pPr>
            <w:r>
              <w:rPr>
                <w:rFonts w:ascii="Calibri" w:hAnsi="Calibri" w:eastAsia="Calibri" w:cs="Calibri"/>
                <w:b/>
                <w:i w:val="0"/>
                <w:color w:val="E8B84A"/>
                <w:sz w:val="17"/>
              </w:rPr>
              <w:t>POPOLAZIONE</w:t>
            </w:r>
          </w:p>
        </w:tc>
        <w:tc>
          <w:tcPr>
            <w:tcW w:type="dxa" w:w="3213"/>
            <w:tcBorders>
              <w:top w:val="single" w:sz="12" w:color="FFFFFF"/>
              <w:left w:val="single" w:sz="12" w:color="FFFFFF"/>
              <w:bottom w:val="single" w:sz="18" w:color="C7951E"/>
              <w:right w:val="single" w:sz="12" w:color="FFFFFF"/>
            </w:tcBorders>
            <w:shd w:val="clear" w:color="auto" w:fill="0F2246"/>
            <w:tcMar>
              <w:top w:w="110" w:type="dxa"/>
              <w:left w:w="90" w:type="dxa"/>
              <w:bottom w:w="110" w:type="dxa"/>
              <w:right w:w="90" w:type="dxa"/>
            </w:tcMar>
          </w:tcPr>
          <w:p>
            <w:pPr>
              <w:spacing w:after="20"/>
              <w:jc w:val="center"/>
            </w:pPr>
            <w:r>
              <w:rPr>
                <w:rFonts w:ascii="Calibri" w:hAnsi="Calibri" w:eastAsia="Calibri" w:cs="Calibri"/>
                <w:b/>
                <w:i w:val="0"/>
                <w:color w:val="FFFFFF"/>
                <w:sz w:val="40"/>
              </w:rPr>
              <w:t>fino a 999</w:t>
            </w:r>
          </w:p>
          <w:p>
            <w:pPr>
              <w:spacing w:after="0"/>
              <w:jc w:val="center"/>
            </w:pPr>
            <w:r>
              <w:rPr>
                <w:rFonts w:ascii="Calibri" w:hAnsi="Calibri" w:eastAsia="Calibri" w:cs="Calibri"/>
                <w:b/>
                <w:i w:val="0"/>
                <w:color w:val="E8B84A"/>
                <w:sz w:val="17"/>
              </w:rPr>
              <w:t>FASCIA DEMOGRAFICA</w:t>
            </w:r>
          </w:p>
        </w:tc>
        <w:tc>
          <w:tcPr>
            <w:tcW w:type="dxa" w:w="3213"/>
            <w:tcBorders>
              <w:top w:val="single" w:sz="12" w:color="FFFFFF"/>
              <w:left w:val="single" w:sz="12" w:color="FFFFFF"/>
              <w:bottom w:val="single" w:sz="18" w:color="C7951E"/>
              <w:right w:val="single" w:sz="12" w:color="FFFFFF"/>
            </w:tcBorders>
            <w:shd w:val="clear" w:color="auto" w:fill="0F2246"/>
            <w:tcMar>
              <w:top w:w="110" w:type="dxa"/>
              <w:left w:w="90" w:type="dxa"/>
              <w:bottom w:w="110" w:type="dxa"/>
              <w:right w:w="90" w:type="dxa"/>
            </w:tcMar>
          </w:tcPr>
          <w:p>
            <w:pPr>
              <w:spacing w:after="20"/>
              <w:jc w:val="center"/>
            </w:pPr>
            <w:r>
              <w:rPr>
                <w:rFonts w:ascii="Calibri" w:hAnsi="Calibri" w:eastAsia="Calibri" w:cs="Calibri"/>
                <w:b/>
                <w:i w:val="0"/>
                <w:color w:val="FFFFFF"/>
                <w:sz w:val="40"/>
              </w:rPr>
              <w:t>3</w:t>
            </w:r>
          </w:p>
          <w:p>
            <w:pPr>
              <w:spacing w:after="0"/>
              <w:jc w:val="center"/>
            </w:pPr>
            <w:r>
              <w:rPr>
                <w:rFonts w:ascii="Calibri" w:hAnsi="Calibri" w:eastAsia="Calibri" w:cs="Calibri"/>
                <w:b/>
                <w:i w:val="0"/>
                <w:color w:val="E8B84A"/>
                <w:sz w:val="17"/>
              </w:rPr>
              <w:t>DIPENDENTI</w:t>
            </w:r>
          </w:p>
        </w:tc>
      </w:tr>
      <w:tr>
        <w:trPr>
          <w:cantSplit/>
        </w:trPr>
        <w:tc>
          <w:tcPr>
            <w:tcW w:type="dxa" w:w="3213"/>
            <w:tcBorders>
              <w:top w:val="single" w:sz="12" w:color="FFFFFF"/>
              <w:left w:val="single" w:sz="12" w:color="FFFFFF"/>
              <w:bottom w:val="single" w:sz="18" w:color="C7951E"/>
              <w:right w:val="single" w:sz="12" w:color="FFFFFF"/>
            </w:tcBorders>
            <w:shd w:val="clear" w:color="auto" w:fill="0F2246"/>
            <w:tcMar>
              <w:top w:w="110" w:type="dxa"/>
              <w:left w:w="90" w:type="dxa"/>
              <w:bottom w:w="110" w:type="dxa"/>
              <w:right w:w="90" w:type="dxa"/>
            </w:tcMar>
          </w:tcPr>
          <w:p>
            <w:pPr>
              <w:spacing w:after="20"/>
              <w:jc w:val="center"/>
            </w:pPr>
            <w:r>
              <w:rPr>
                <w:rFonts w:ascii="Calibri" w:hAnsi="Calibri" w:eastAsia="Calibri" w:cs="Calibri"/>
                <w:b/>
                <w:i w:val="0"/>
                <w:color w:val="FFFFFF"/>
                <w:sz w:val="40"/>
              </w:rPr>
              <w:t>Campobasso</w:t>
            </w:r>
          </w:p>
          <w:p>
            <w:pPr>
              <w:spacing w:after="0"/>
              <w:jc w:val="center"/>
            </w:pPr>
            <w:r>
              <w:rPr>
                <w:rFonts w:ascii="Calibri" w:hAnsi="Calibri" w:eastAsia="Calibri" w:cs="Calibri"/>
                <w:b/>
                <w:i w:val="0"/>
                <w:color w:val="E8B84A"/>
                <w:sz w:val="17"/>
              </w:rPr>
              <w:t>PROVINCIA</w:t>
            </w:r>
          </w:p>
        </w:tc>
        <w:tc>
          <w:tcPr>
            <w:tcW w:type="dxa" w:w="3213"/>
            <w:tcBorders>
              <w:top w:val="single" w:sz="12" w:color="FFFFFF"/>
              <w:left w:val="single" w:sz="12" w:color="FFFFFF"/>
              <w:bottom w:val="single" w:sz="18" w:color="C7951E"/>
              <w:right w:val="single" w:sz="12" w:color="FFFFFF"/>
            </w:tcBorders>
            <w:shd w:val="clear" w:color="auto" w:fill="0F2246"/>
            <w:tcMar>
              <w:top w:w="110" w:type="dxa"/>
              <w:left w:w="90" w:type="dxa"/>
              <w:bottom w:w="110" w:type="dxa"/>
              <w:right w:w="90" w:type="dxa"/>
            </w:tcMar>
          </w:tcPr>
          <w:p>
            <w:pPr>
              <w:spacing w:after="20"/>
              <w:jc w:val="center"/>
            </w:pPr>
            <w:r>
              <w:rPr>
                <w:rFonts w:ascii="Calibri" w:hAnsi="Calibri" w:eastAsia="Calibri" w:cs="Calibri"/>
                <w:b/>
                <w:i w:val="0"/>
                <w:color w:val="FFFFFF"/>
                <w:sz w:val="40"/>
              </w:rPr>
              <w:t>Molise</w:t>
            </w:r>
          </w:p>
          <w:p>
            <w:pPr>
              <w:spacing w:after="0"/>
              <w:jc w:val="center"/>
            </w:pPr>
            <w:r>
              <w:rPr>
                <w:rFonts w:ascii="Calibri" w:hAnsi="Calibri" w:eastAsia="Calibri" w:cs="Calibri"/>
                <w:b/>
                <w:i w:val="0"/>
                <w:color w:val="E8B84A"/>
                <w:sz w:val="17"/>
              </w:rPr>
              <w:t>REGIONE</w:t>
            </w:r>
          </w:p>
        </w:tc>
        <w:tc>
          <w:tcPr>
            <w:tcW w:type="dxa" w:w="3213"/>
            <w:tcBorders>
              <w:top w:val="single" w:sz="12" w:color="FFFFFF"/>
              <w:left w:val="single" w:sz="12" w:color="FFFFFF"/>
              <w:bottom w:val="single" w:sz="18" w:color="C7951E"/>
              <w:right w:val="single" w:sz="12" w:color="FFFFFF"/>
            </w:tcBorders>
            <w:shd w:val="clear" w:color="auto" w:fill="0F2246"/>
            <w:tcMar>
              <w:top w:w="110" w:type="dxa"/>
              <w:left w:w="90" w:type="dxa"/>
              <w:bottom w:w="110" w:type="dxa"/>
              <w:right w:w="90" w:type="dxa"/>
            </w:tcMar>
          </w:tcPr>
          <w:p>
            <w:pPr>
              <w:spacing w:after="20"/>
              <w:jc w:val="center"/>
            </w:pPr>
            <w:r>
              <w:rPr>
                <w:rFonts w:ascii="Calibri" w:hAnsi="Calibri" w:eastAsia="Calibri" w:cs="Calibri"/>
                <w:b/>
                <w:i w:val="0"/>
                <w:color w:val="FFFFFF"/>
                <w:sz w:val="40"/>
              </w:rPr>
              <w:t>H833</w:t>
            </w:r>
          </w:p>
          <w:p>
            <w:pPr>
              <w:spacing w:after="0"/>
              <w:jc w:val="center"/>
            </w:pPr>
            <w:r>
              <w:rPr>
                <w:rFonts w:ascii="Calibri" w:hAnsi="Calibri" w:eastAsia="Calibri" w:cs="Calibri"/>
                <w:b/>
                <w:i w:val="0"/>
                <w:color w:val="E8B84A"/>
                <w:sz w:val="17"/>
              </w:rPr>
              <w:t>CODICE CATASTALE</w:t>
            </w:r>
          </w:p>
        </w:tc>
      </w:tr>
    </w:tbl>
    <w:p>
      <w:pPr>
        <w:spacing w:after="120" w:before="0"/>
      </w:pPr>
    </w:p>
    <w:tbl>
      <w:tblPr>
        <w:tblW w:type="dxa" w:w="9638"/>
        <w:jc w:val="center"/>
        <w:tblLayout w:type="fixed"/>
        <w:tblLook w:firstColumn="1" w:firstRow="1" w:lastColumn="0" w:lastRow="0" w:noHBand="0" w:noVBand="1" w:val="04A0"/>
      </w:tblPr>
      <w:tblGrid>
        <w:gridCol w:w="9638"/>
      </w:tblGrid>
      <w:tr>
        <w:trPr>
          <w:cantSplit/>
        </w:trPr>
        <w:tc>
          <w:tcPr>
            <w:tcW w:type="dxa" w:w="9638"/>
            <w:tcBorders>
              <w:top w:val="nil"/>
              <w:left w:val="single" w:sz="36" w:color="2E7D52"/>
              <w:bottom w:val="nil"/>
              <w:right w:val="nil"/>
            </w:tcBorders>
            <w:shd w:val="clear" w:color="auto" w:fill="E2F0E7"/>
            <w:tcMar>
              <w:top w:w="110" w:type="dxa"/>
              <w:left w:w="200" w:type="dxa"/>
              <w:bottom w:w="110" w:type="dxa"/>
              <w:right w:w="160" w:type="dxa"/>
            </w:tcMar>
          </w:tcPr>
          <w:p>
            <w:pPr>
              <w:spacing w:after="60"/>
            </w:pPr>
            <w:r>
              <w:rPr>
                <w:rFonts w:ascii="Calibri" w:hAnsi="Calibri" w:eastAsia="Calibri" w:cs="Calibri"/>
                <w:b/>
                <w:i w:val="0"/>
                <w:color w:val="2E7D52"/>
                <w:sz w:val="19"/>
              </w:rPr>
              <w:t>Stato finanziario</w:t>
            </w:r>
          </w:p>
          <w:p>
            <w:pPr>
              <w:spacing w:after="40"/>
              <w:jc w:val="both"/>
            </w:pPr>
            <w:r>
              <w:rPr>
                <w:rFonts w:ascii="Calibri" w:hAnsi="Calibri" w:eastAsia="Calibri" w:cs="Calibri"/>
                <w:b w:val="0"/>
                <w:i w:val="0"/>
                <w:color w:val="333333"/>
                <w:sz w:val="20"/>
              </w:rPr>
              <w:t>L'ente non risulta in dissesto né ha attivato procedure di riequilibrio finanziario pluriennale ai sensi dell'art. 243 bis TUEL.</w:t>
            </w:r>
          </w:p>
        </w:tc>
      </w:tr>
    </w:tbl>
    <w:p>
      <w:pPr>
        <w:spacing w:after="80" w:before="0"/>
      </w:pPr>
    </w:p>
    <w:p>
      <w:pPr>
        <w:pStyle w:val="Heading1"/>
        <w:pBdr>
          <w:bottom w:val="single" w:sz="8" w:space="4" w:color="C7951E"/>
        </w:pBdr>
      </w:pPr>
      <w:r>
        <w:rPr>
          <w:rFonts w:ascii="Calibri" w:hAnsi="Calibri" w:eastAsia="Calibri" w:cs="Calibri"/>
          <w:b/>
          <w:i w:val="0"/>
          <w:color w:val="C7951E"/>
          <w:sz w:val="30"/>
        </w:rPr>
        <w:t xml:space="preserve">3.  </w:t>
      </w:r>
      <w:r>
        <w:rPr>
          <w:rFonts w:ascii="Calibri" w:hAnsi="Calibri" w:eastAsia="Calibri" w:cs="Calibri"/>
          <w:b/>
          <w:i w:val="0"/>
          <w:color w:val="0F2246"/>
          <w:sz w:val="30"/>
        </w:rPr>
        <w:t>Cruscotto sintetico, indicatori chiave</w:t>
      </w:r>
    </w:p>
    <w:p>
      <w:pPr>
        <w:spacing w:after="160" w:before="0"/>
        <w:jc w:val="both"/>
      </w:pPr>
      <w:r>
        <w:rPr>
          <w:rFonts w:ascii="Calibri" w:hAnsi="Calibri" w:eastAsia="Calibri" w:cs="Calibri"/>
          <w:b w:val="0"/>
          <w:i/>
          <w:color w:val="656665"/>
          <w:sz w:val="19"/>
        </w:rPr>
        <w:t>Quattro indicatori di sintesi, con il trend degli esercizi chiusi e il confronto con la soglia ministeriale, forniscono il colpo d'occhio sullo stato di salute dell'ente.</w:t>
      </w:r>
    </w:p>
    <w:tbl>
      <w:tblPr>
        <w:tblW w:type="dxa" w:w="9638"/>
        <w:jc w:val="center"/>
        <w:tblLayout w:type="fixed"/>
        <w:tblLook w:firstColumn="1" w:firstRow="1" w:lastColumn="0" w:lastRow="0" w:noHBand="0" w:noVBand="1" w:val="04A0"/>
      </w:tblPr>
      <w:tblGrid>
        <w:gridCol w:w="4819"/>
        <w:gridCol w:w="4819"/>
      </w:tblGrid>
      <w:tr>
        <w:trPr>
          <w:cantSplit/>
        </w:trPr>
        <w:tc>
          <w:tcPr>
            <w:tcW w:type="dxa" w:w="4819"/>
            <w:tcBorders>
              <w:top w:val="single" w:sz="12" w:color="C7951E"/>
              <w:left w:val="nil"/>
              <w:bottom w:val="nil"/>
              <w:right w:val="nil"/>
            </w:tcBorders>
            <w:tcMar>
              <w:top w:w="80" w:type="dxa"/>
              <w:left w:w="80" w:type="dxa"/>
              <w:bottom w:w="100" w:type="dxa"/>
              <w:right w:w="80" w:type="dxa"/>
            </w:tcMar>
          </w:tcPr>
          <w:p>
            <w:pPr>
              <w:spacing w:after="40"/>
            </w:pPr>
            <w:r>
              <w:rPr>
                <w:rFonts w:ascii="Calibri" w:hAnsi="Calibri" w:eastAsia="Calibri" w:cs="Calibri"/>
                <w:b/>
                <w:i w:val="0"/>
                <w:color w:val="0F2246"/>
                <w:sz w:val="16"/>
              </w:rPr>
              <w:t>AUTONOMIA FINANZIARIA</w:t>
            </w:r>
          </w:p>
          <w:p>
            <w:pPr>
              <w:spacing w:after="20"/>
              <w:jc w:val="center"/>
            </w:pPr>
            <w:r>
              <w:drawing>
                <wp:inline xmlns:a="http://schemas.openxmlformats.org/drawingml/2006/main" xmlns:pic="http://schemas.openxmlformats.org/drawingml/2006/picture">
                  <wp:extent cx="2880000" cy="1314362"/>
                  <wp:docPr id="3" name="Picture 3"/>
                  <wp:cNvGraphicFramePr>
                    <a:graphicFrameLocks noChangeAspect="1"/>
                  </wp:cNvGraphicFramePr>
                  <a:graphic>
                    <a:graphicData uri="http://schemas.openxmlformats.org/drawingml/2006/picture">
                      <pic:pic>
                        <pic:nvPicPr>
                          <pic:cNvPr id="0" name="image.png"/>
                          <pic:cNvPicPr/>
                        </pic:nvPicPr>
                        <pic:blipFill>
                          <a:blip r:embed="rId13"/>
                          <a:stretch>
                            <a:fillRect/>
                          </a:stretch>
                        </pic:blipFill>
                        <pic:spPr>
                          <a:xfrm>
                            <a:off x="0" y="0"/>
                            <a:ext cx="2880000" cy="1314362"/>
                          </a:xfrm>
                          <a:prstGeom prst="rect"/>
                        </pic:spPr>
                      </pic:pic>
                    </a:graphicData>
                  </a:graphic>
                </wp:inline>
              </w:drawing>
            </w:r>
          </w:p>
          <w:p>
            <w:pPr>
              <w:spacing w:after="0"/>
            </w:pPr>
            <w:r>
              <w:rPr>
                <w:rFonts w:ascii="Calibri" w:hAnsi="Calibri" w:eastAsia="Calibri" w:cs="Calibri"/>
                <w:b/>
                <w:i w:val="0"/>
                <w:color w:val="C4453F"/>
                <w:sz w:val="17"/>
              </w:rPr>
              <w:t>In peggioramento</w:t>
            </w:r>
          </w:p>
        </w:tc>
        <w:tc>
          <w:tcPr>
            <w:tcW w:type="dxa" w:w="4819"/>
            <w:tcBorders>
              <w:top w:val="single" w:sz="12" w:color="C7951E"/>
              <w:left w:val="nil"/>
              <w:bottom w:val="nil"/>
              <w:right w:val="nil"/>
            </w:tcBorders>
            <w:tcMar>
              <w:top w:w="80" w:type="dxa"/>
              <w:left w:w="80" w:type="dxa"/>
              <w:bottom w:w="100" w:type="dxa"/>
              <w:right w:w="80" w:type="dxa"/>
            </w:tcMar>
          </w:tcPr>
          <w:p>
            <w:pPr>
              <w:spacing w:after="40"/>
            </w:pPr>
            <w:r>
              <w:rPr>
                <w:rFonts w:ascii="Calibri" w:hAnsi="Calibri" w:eastAsia="Calibri" w:cs="Calibri"/>
                <w:b/>
                <w:i w:val="0"/>
                <w:color w:val="0F2246"/>
                <w:sz w:val="16"/>
              </w:rPr>
              <w:t>RIGIDITÀ STRUTTURALE</w:t>
            </w:r>
          </w:p>
          <w:p>
            <w:pPr>
              <w:spacing w:after="20"/>
              <w:jc w:val="center"/>
            </w:pPr>
            <w:r>
              <w:drawing>
                <wp:inline xmlns:a="http://schemas.openxmlformats.org/drawingml/2006/main" xmlns:pic="http://schemas.openxmlformats.org/drawingml/2006/picture">
                  <wp:extent cx="2880000" cy="1314362"/>
                  <wp:docPr id="4" name="Picture 4"/>
                  <wp:cNvGraphicFramePr>
                    <a:graphicFrameLocks noChangeAspect="1"/>
                  </wp:cNvGraphicFramePr>
                  <a:graphic>
                    <a:graphicData uri="http://schemas.openxmlformats.org/drawingml/2006/picture">
                      <pic:pic>
                        <pic:nvPicPr>
                          <pic:cNvPr id="0" name="image.png"/>
                          <pic:cNvPicPr/>
                        </pic:nvPicPr>
                        <pic:blipFill>
                          <a:blip r:embed="rId14"/>
                          <a:stretch>
                            <a:fillRect/>
                          </a:stretch>
                        </pic:blipFill>
                        <pic:spPr>
                          <a:xfrm>
                            <a:off x="0" y="0"/>
                            <a:ext cx="2880000" cy="1314362"/>
                          </a:xfrm>
                          <a:prstGeom prst="rect"/>
                        </pic:spPr>
                      </pic:pic>
                    </a:graphicData>
                  </a:graphic>
                </wp:inline>
              </w:drawing>
            </w:r>
          </w:p>
          <w:p>
            <w:pPr>
              <w:spacing w:after="0"/>
            </w:pPr>
            <w:r>
              <w:rPr>
                <w:rFonts w:ascii="Calibri" w:hAnsi="Calibri" w:eastAsia="Calibri" w:cs="Calibri"/>
                <w:b/>
                <w:i w:val="0"/>
                <w:color w:val="656665"/>
                <w:sz w:val="17"/>
              </w:rPr>
              <w:t>Stabile</w:t>
            </w:r>
          </w:p>
        </w:tc>
      </w:tr>
      <w:tr>
        <w:trPr>
          <w:cantSplit/>
        </w:trPr>
        <w:tc>
          <w:tcPr>
            <w:tcW w:type="dxa" w:w="4819"/>
            <w:tcBorders>
              <w:top w:val="single" w:sz="12" w:color="C7951E"/>
              <w:left w:val="nil"/>
              <w:bottom w:val="nil"/>
              <w:right w:val="nil"/>
            </w:tcBorders>
            <w:tcMar>
              <w:top w:w="80" w:type="dxa"/>
              <w:left w:w="80" w:type="dxa"/>
              <w:bottom w:w="100" w:type="dxa"/>
              <w:right w:w="80" w:type="dxa"/>
            </w:tcMar>
          </w:tcPr>
          <w:p>
            <w:pPr>
              <w:spacing w:after="40"/>
            </w:pPr>
            <w:r>
              <w:rPr>
                <w:rFonts w:ascii="Calibri" w:hAnsi="Calibri" w:eastAsia="Calibri" w:cs="Calibri"/>
                <w:b/>
                <w:i w:val="0"/>
                <w:color w:val="0F2246"/>
                <w:sz w:val="16"/>
              </w:rPr>
              <w:t>RISCOSSIONE TRIBUTARIE</w:t>
            </w:r>
          </w:p>
          <w:p>
            <w:pPr>
              <w:spacing w:after="20"/>
              <w:jc w:val="center"/>
            </w:pPr>
            <w:r>
              <w:drawing>
                <wp:inline xmlns:a="http://schemas.openxmlformats.org/drawingml/2006/main" xmlns:pic="http://schemas.openxmlformats.org/drawingml/2006/picture">
                  <wp:extent cx="2880000" cy="1314362"/>
                  <wp:docPr id="5" name="Picture 5"/>
                  <wp:cNvGraphicFramePr>
                    <a:graphicFrameLocks noChangeAspect="1"/>
                  </wp:cNvGraphicFramePr>
                  <a:graphic>
                    <a:graphicData uri="http://schemas.openxmlformats.org/drawingml/2006/picture">
                      <pic:pic>
                        <pic:nvPicPr>
                          <pic:cNvPr id="0" name="image.png"/>
                          <pic:cNvPicPr/>
                        </pic:nvPicPr>
                        <pic:blipFill>
                          <a:blip r:embed="rId15"/>
                          <a:stretch>
                            <a:fillRect/>
                          </a:stretch>
                        </pic:blipFill>
                        <pic:spPr>
                          <a:xfrm>
                            <a:off x="0" y="0"/>
                            <a:ext cx="2880000" cy="1314362"/>
                          </a:xfrm>
                          <a:prstGeom prst="rect"/>
                        </pic:spPr>
                      </pic:pic>
                    </a:graphicData>
                  </a:graphic>
                </wp:inline>
              </w:drawing>
            </w:r>
          </w:p>
          <w:p>
            <w:pPr>
              <w:spacing w:after="0"/>
            </w:pPr>
            <w:r>
              <w:rPr>
                <w:rFonts w:ascii="Calibri" w:hAnsi="Calibri" w:eastAsia="Calibri" w:cs="Calibri"/>
                <w:b/>
                <w:i w:val="0"/>
                <w:color w:val="2E7D52"/>
                <w:sz w:val="17"/>
              </w:rPr>
              <w:t>In miglioramento</w:t>
            </w:r>
          </w:p>
        </w:tc>
        <w:tc>
          <w:tcPr>
            <w:tcW w:type="dxa" w:w="4819"/>
            <w:tcBorders>
              <w:top w:val="single" w:sz="12" w:color="C7951E"/>
              <w:left w:val="nil"/>
              <w:bottom w:val="nil"/>
              <w:right w:val="nil"/>
            </w:tcBorders>
            <w:tcMar>
              <w:top w:w="80" w:type="dxa"/>
              <w:left w:w="80" w:type="dxa"/>
              <w:bottom w:w="100" w:type="dxa"/>
              <w:right w:w="80" w:type="dxa"/>
            </w:tcMar>
          </w:tcPr>
          <w:p>
            <w:pPr>
              <w:spacing w:after="40"/>
            </w:pPr>
            <w:r>
              <w:rPr>
                <w:rFonts w:ascii="Calibri" w:hAnsi="Calibri" w:eastAsia="Calibri" w:cs="Calibri"/>
                <w:b/>
                <w:i w:val="0"/>
                <w:color w:val="0F2246"/>
                <w:sz w:val="16"/>
              </w:rPr>
              <w:t>SPESA PERSONALE / ENTRATE</w:t>
            </w:r>
          </w:p>
          <w:p>
            <w:pPr>
              <w:spacing w:after="20"/>
              <w:jc w:val="center"/>
            </w:pPr>
            <w:r>
              <w:drawing>
                <wp:inline xmlns:a="http://schemas.openxmlformats.org/drawingml/2006/main" xmlns:pic="http://schemas.openxmlformats.org/drawingml/2006/picture">
                  <wp:extent cx="2880000" cy="1314362"/>
                  <wp:docPr id="6" name="Picture 6"/>
                  <wp:cNvGraphicFramePr>
                    <a:graphicFrameLocks noChangeAspect="1"/>
                  </wp:cNvGraphicFramePr>
                  <a:graphic>
                    <a:graphicData uri="http://schemas.openxmlformats.org/drawingml/2006/picture">
                      <pic:pic>
                        <pic:nvPicPr>
                          <pic:cNvPr id="0" name="image.png"/>
                          <pic:cNvPicPr/>
                        </pic:nvPicPr>
                        <pic:blipFill>
                          <a:blip r:embed="rId16"/>
                          <a:stretch>
                            <a:fillRect/>
                          </a:stretch>
                        </pic:blipFill>
                        <pic:spPr>
                          <a:xfrm>
                            <a:off x="0" y="0"/>
                            <a:ext cx="2880000" cy="1314362"/>
                          </a:xfrm>
                          <a:prstGeom prst="rect"/>
                        </pic:spPr>
                      </pic:pic>
                    </a:graphicData>
                  </a:graphic>
                </wp:inline>
              </w:drawing>
            </w:r>
          </w:p>
          <w:p>
            <w:pPr>
              <w:spacing w:after="0"/>
            </w:pPr>
            <w:r>
              <w:rPr>
                <w:rFonts w:ascii="Calibri" w:hAnsi="Calibri" w:eastAsia="Calibri" w:cs="Calibri"/>
                <w:b/>
                <w:i w:val="0"/>
                <w:color w:val="656665"/>
                <w:sz w:val="17"/>
              </w:rPr>
              <w:t>Stabile</w:t>
            </w:r>
          </w:p>
        </w:tc>
      </w:tr>
    </w:tbl>
    <w:p>
      <w:pPr>
        <w:spacing w:after="120" w:before="0"/>
      </w:pPr>
    </w:p>
    <w:tbl>
      <w:tblPr>
        <w:tblW w:type="dxa" w:w="9638"/>
        <w:jc w:val="center"/>
        <w:tblLayout w:type="fixed"/>
        <w:tblLook w:firstColumn="1" w:firstRow="1" w:lastColumn="0" w:lastRow="0" w:noHBand="0" w:noVBand="1" w:val="04A0"/>
      </w:tblPr>
      <w:tblGrid>
        <w:gridCol w:w="9638"/>
      </w:tblGrid>
      <w:tr>
        <w:trPr>
          <w:cantSplit/>
        </w:trPr>
        <w:tc>
          <w:tcPr>
            <w:tcW w:type="dxa" w:w="9638"/>
            <w:tcBorders>
              <w:top w:val="nil"/>
              <w:left w:val="single" w:sz="36" w:color="2E7D52"/>
              <w:bottom w:val="nil"/>
              <w:right w:val="nil"/>
            </w:tcBorders>
            <w:shd w:val="clear" w:color="auto" w:fill="E2F0E7"/>
            <w:tcMar>
              <w:top w:w="110" w:type="dxa"/>
              <w:left w:w="200" w:type="dxa"/>
              <w:bottom w:w="110" w:type="dxa"/>
              <w:right w:w="160" w:type="dxa"/>
            </w:tcMar>
          </w:tcPr>
          <w:p>
            <w:pPr>
              <w:spacing w:after="60"/>
            </w:pPr>
            <w:r>
              <w:rPr>
                <w:rFonts w:ascii="Calibri" w:hAnsi="Calibri" w:eastAsia="Calibri" w:cs="Calibri"/>
                <w:b/>
                <w:i w:val="0"/>
                <w:color w:val="2E7D52"/>
                <w:sz w:val="19"/>
              </w:rPr>
              <w:t>Esito complessivo: OTTIMO</w:t>
            </w:r>
          </w:p>
          <w:p>
            <w:pPr>
              <w:spacing w:after="40"/>
              <w:jc w:val="both"/>
            </w:pPr>
            <w:r>
              <w:rPr>
                <w:rFonts w:ascii="Calibri" w:hAnsi="Calibri" w:eastAsia="Calibri" w:cs="Calibri"/>
                <w:b w:val="0"/>
                <w:i w:val="0"/>
                <w:color w:val="333333"/>
                <w:sz w:val="20"/>
              </w:rPr>
              <w:t>L'Ente NON si trova in condizioni strutturalmente deficitarie ai sensi dell'art. 242 del D.Lgs. 267/2000. Nessuno dei parametri obiettivi di cui al D.M. 4 agosto 2023 risulta critico (0 parametri critici su 6 calcolabili). Il quadro finanziario complessivo evidenzia un assetto coerente con i principi di sana gestione finanziaria.</w:t>
            </w:r>
          </w:p>
        </w:tc>
      </w:tr>
    </w:tbl>
    <w:p>
      <w:pPr>
        <w:spacing w:after="80" w:before="0"/>
      </w:pPr>
    </w:p>
    <w:p>
      <w:pPr>
        <w:pStyle w:val="Heading1"/>
        <w:pageBreakBefore/>
        <w:pBdr>
          <w:bottom w:val="single" w:sz="8" w:space="4" w:color="C7951E"/>
        </w:pBdr>
      </w:pPr>
      <w:r>
        <w:rPr>
          <w:rFonts w:ascii="Calibri" w:hAnsi="Calibri" w:eastAsia="Calibri" w:cs="Calibri"/>
          <w:b/>
          <w:i w:val="0"/>
          <w:color w:val="C7951E"/>
          <w:sz w:val="30"/>
        </w:rPr>
        <w:t xml:space="preserve">4.  </w:t>
      </w:r>
      <w:r>
        <w:rPr>
          <w:rFonts w:ascii="Calibri" w:hAnsi="Calibri" w:eastAsia="Calibri" w:cs="Calibri"/>
          <w:b/>
          <w:i w:val="0"/>
          <w:color w:val="0F2246"/>
          <w:sz w:val="30"/>
        </w:rPr>
        <w:t>Sezione A, parametri di deficitarietà strutturale</w:t>
      </w:r>
    </w:p>
    <w:p>
      <w:pPr>
        <w:spacing w:after="160" w:before="0"/>
        <w:jc w:val="both"/>
      </w:pPr>
      <w:r>
        <w:rPr>
          <w:rFonts w:ascii="Calibri" w:hAnsi="Calibri" w:eastAsia="Calibri" w:cs="Calibri"/>
          <w:b w:val="0"/>
          <w:i/>
          <w:color w:val="656665"/>
          <w:sz w:val="19"/>
        </w:rPr>
        <w:t>I parametri obiettivi di cui al D.M. 4 agosto 2023 (in attuazione dell'art. 242 TUEL) costituiscono il presidio principale per l'individuazione degli enti strutturalmente deficitari. Un ente è classificato deficitario quando supera almeno 5 dei 10 parametri.</w:t>
      </w:r>
    </w:p>
    <w:p>
      <w:pPr>
        <w:keepNext/>
        <w:spacing w:after="40" w:before="80"/>
        <w:jc w:val="center"/>
      </w:pPr>
      <w:r>
        <w:drawing>
          <wp:inline xmlns:a="http://schemas.openxmlformats.org/drawingml/2006/main" xmlns:pic="http://schemas.openxmlformats.org/drawingml/2006/picture">
            <wp:extent cx="4320000" cy="4064665"/>
            <wp:docPr id="7" name="Picture 7"/>
            <wp:cNvGraphicFramePr>
              <a:graphicFrameLocks noChangeAspect="1"/>
            </wp:cNvGraphicFramePr>
            <a:graphic>
              <a:graphicData uri="http://schemas.openxmlformats.org/drawingml/2006/picture">
                <pic:pic>
                  <pic:nvPicPr>
                    <pic:cNvPr id="0" name="image.png"/>
                    <pic:cNvPicPr/>
                  </pic:nvPicPr>
                  <pic:blipFill>
                    <a:blip r:embed="rId17"/>
                    <a:stretch>
                      <a:fillRect/>
                    </a:stretch>
                  </pic:blipFill>
                  <pic:spPr>
                    <a:xfrm>
                      <a:off x="0" y="0"/>
                      <a:ext cx="4320000" cy="4064665"/>
                    </a:xfrm>
                    <a:prstGeom prst="rect"/>
                  </pic:spPr>
                </pic:pic>
              </a:graphicData>
            </a:graphic>
          </wp:inline>
        </w:drawing>
      </w:r>
    </w:p>
    <w:p>
      <w:pPr>
        <w:spacing w:after="200" w:before="0"/>
        <w:jc w:val="center"/>
      </w:pPr>
      <w:r>
        <w:rPr>
          <w:rFonts w:ascii="Calibri" w:hAnsi="Calibri" w:eastAsia="Calibri" w:cs="Calibri"/>
          <w:b w:val="0"/>
          <w:i/>
          <w:color w:val="656665"/>
          <w:sz w:val="17"/>
        </w:rPr>
        <w:t>Figura 2. Sintesi grafica dei 10 parametri obiettivi. I punti rossi indicano parametri critici (oltre soglia). La linea tratteggiata rappresenta la soglia ministeriale.</w:t>
      </w:r>
    </w:p>
    <w:p>
      <w:pPr>
        <w:keepNext/>
        <w:spacing w:after="60" w:before="80"/>
      </w:pPr>
      <w:r>
        <w:rPr>
          <w:rFonts w:ascii="Calibri" w:hAnsi="Calibri" w:eastAsia="Calibri" w:cs="Calibri"/>
          <w:b/>
          <w:i w:val="0"/>
          <w:color w:val="0F2246"/>
          <w:sz w:val="18"/>
        </w:rPr>
        <w:t>Tabella 2. Parametri obiettivi, esercizio 2021</w:t>
      </w:r>
    </w:p>
    <w:tbl>
      <w:tblPr>
        <w:tblW w:type="dxa" w:w="9638"/>
        <w:jc w:val="center"/>
        <w:tblLayout w:type="fixed"/>
        <w:tblLook w:firstColumn="1" w:firstRow="1" w:lastColumn="0" w:lastRow="0" w:noHBand="0" w:noVBand="1" w:val="04A0"/>
      </w:tblPr>
      <w:tblGrid>
        <w:gridCol w:w="680"/>
        <w:gridCol w:w="2835"/>
        <w:gridCol w:w="1247"/>
        <w:gridCol w:w="1077"/>
        <w:gridCol w:w="1191"/>
        <w:gridCol w:w="2608"/>
      </w:tblGrid>
      <w:tr>
        <w:trPr>
          <w:cantSplit/>
          <w:tblHeader/>
        </w:trPr>
        <w:tc>
          <w:tcPr>
            <w:tcW w:type="dxa" w:w="680"/>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7"/>
              </w:rPr>
              <w:t>Cod.</w:t>
            </w:r>
          </w:p>
        </w:tc>
        <w:tc>
          <w:tcPr>
            <w:tcW w:type="dxa" w:w="2835"/>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7"/>
              </w:rPr>
              <w:t>Parametro</w:t>
            </w:r>
          </w:p>
        </w:tc>
        <w:tc>
          <w:tcPr>
            <w:tcW w:type="dxa" w:w="1247"/>
            <w:shd w:val="clear" w:color="auto" w:fill="0F2246"/>
            <w:tcMar>
              <w:top w:w="50" w:type="dxa"/>
              <w:left w:w="80" w:type="dxa"/>
              <w:bottom w:w="50" w:type="dxa"/>
              <w:right w:w="80" w:type="dxa"/>
            </w:tcMar>
          </w:tcPr>
          <w:p>
            <w:pPr>
              <w:spacing w:after="0"/>
              <w:jc w:val="right"/>
            </w:pPr>
            <w:r>
              <w:rPr>
                <w:rFonts w:ascii="Calibri" w:hAnsi="Calibri" w:eastAsia="Calibri" w:cs="Calibri"/>
                <w:b/>
                <w:i w:val="0"/>
                <w:color w:val="FFFFFF"/>
                <w:sz w:val="17"/>
              </w:rPr>
              <w:t>Valore</w:t>
            </w:r>
          </w:p>
        </w:tc>
        <w:tc>
          <w:tcPr>
            <w:tcW w:type="dxa" w:w="1077"/>
            <w:shd w:val="clear" w:color="auto" w:fill="0F2246"/>
            <w:tcMar>
              <w:top w:w="50" w:type="dxa"/>
              <w:left w:w="80" w:type="dxa"/>
              <w:bottom w:w="50" w:type="dxa"/>
              <w:right w:w="80" w:type="dxa"/>
            </w:tcMar>
          </w:tcPr>
          <w:p>
            <w:pPr>
              <w:spacing w:after="0"/>
              <w:jc w:val="center"/>
            </w:pPr>
            <w:r>
              <w:rPr>
                <w:rFonts w:ascii="Calibri" w:hAnsi="Calibri" w:eastAsia="Calibri" w:cs="Calibri"/>
                <w:b/>
                <w:i w:val="0"/>
                <w:color w:val="FFFFFF"/>
                <w:sz w:val="17"/>
              </w:rPr>
              <w:t>Soglia</w:t>
            </w:r>
          </w:p>
        </w:tc>
        <w:tc>
          <w:tcPr>
            <w:tcW w:type="dxa" w:w="1191"/>
            <w:shd w:val="clear" w:color="auto" w:fill="0F2246"/>
            <w:tcMar>
              <w:top w:w="50" w:type="dxa"/>
              <w:left w:w="80" w:type="dxa"/>
              <w:bottom w:w="50" w:type="dxa"/>
              <w:right w:w="80" w:type="dxa"/>
            </w:tcMar>
          </w:tcPr>
          <w:p>
            <w:pPr>
              <w:spacing w:after="0"/>
              <w:jc w:val="center"/>
            </w:pPr>
            <w:r>
              <w:rPr>
                <w:rFonts w:ascii="Calibri" w:hAnsi="Calibri" w:eastAsia="Calibri" w:cs="Calibri"/>
                <w:b/>
                <w:i w:val="0"/>
                <w:color w:val="FFFFFF"/>
                <w:sz w:val="17"/>
              </w:rPr>
              <w:t>Esito</w:t>
            </w:r>
          </w:p>
        </w:tc>
        <w:tc>
          <w:tcPr>
            <w:tcW w:type="dxa" w:w="2608"/>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7"/>
              </w:rPr>
              <w:t>Nota</w:t>
            </w:r>
          </w:p>
        </w:tc>
      </w:tr>
      <w:tr>
        <w:trPr>
          <w:cantSplit/>
        </w:trPr>
        <w:tc>
          <w:tcPr>
            <w:tcW w:type="dxa" w:w="680"/>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P1</w:t>
            </w:r>
          </w:p>
        </w:tc>
        <w:tc>
          <w:tcPr>
            <w:tcW w:type="dxa" w:w="283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Rigidità spesa corrente</w:t>
            </w:r>
          </w:p>
        </w:tc>
        <w:tc>
          <w:tcPr>
            <w:tcW w:type="dxa" w:w="1247"/>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7,70 %</w:t>
            </w:r>
          </w:p>
        </w:tc>
        <w:tc>
          <w:tcPr>
            <w:tcW w:type="dxa" w:w="1077"/>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656665"/>
                <w:sz w:val="17"/>
              </w:rPr>
              <w:t>&gt; 60%</w:t>
            </w:r>
          </w:p>
        </w:tc>
        <w:tc>
          <w:tcPr>
            <w:tcW w:type="dxa" w:w="1191"/>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rispettato</w:t>
            </w:r>
          </w:p>
        </w:tc>
        <w:tc>
          <w:tcPr>
            <w:tcW w:type="dxa" w:w="2608"/>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656665"/>
                <w:sz w:val="15"/>
              </w:rPr>
              <w:t>Calcolato da dati BDAP/SIOPE (Allegato l: non superato)</w:t>
            </w:r>
          </w:p>
        </w:tc>
      </w:tr>
      <w:tr>
        <w:trPr>
          <w:cantSplit/>
        </w:trPr>
        <w:tc>
          <w:tcPr>
            <w:tcW w:type="dxa" w:w="680"/>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P2</w:t>
            </w:r>
          </w:p>
        </w:tc>
        <w:tc>
          <w:tcPr>
            <w:tcW w:type="dxa" w:w="283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Riscossione entrate proprie</w:t>
            </w:r>
          </w:p>
        </w:tc>
        <w:tc>
          <w:tcPr>
            <w:tcW w:type="dxa" w:w="1247"/>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91,80 %</w:t>
            </w:r>
          </w:p>
        </w:tc>
        <w:tc>
          <w:tcPr>
            <w:tcW w:type="dxa" w:w="1077"/>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656665"/>
                <w:sz w:val="17"/>
              </w:rPr>
              <w:t>&lt; 20%</w:t>
            </w:r>
          </w:p>
        </w:tc>
        <w:tc>
          <w:tcPr>
            <w:tcW w:type="dxa" w:w="1191"/>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rispettato</w:t>
            </w:r>
          </w:p>
        </w:tc>
        <w:tc>
          <w:tcPr>
            <w:tcW w:type="dxa" w:w="2608"/>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656665"/>
                <w:sz w:val="15"/>
              </w:rPr>
              <w:t>Calcolato da dati BDAP/SIOPE (Allegato l: non superato)</w:t>
            </w:r>
          </w:p>
        </w:tc>
      </w:tr>
      <w:tr>
        <w:trPr>
          <w:cantSplit/>
        </w:trPr>
        <w:tc>
          <w:tcPr>
            <w:tcW w:type="dxa" w:w="680"/>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P3</w:t>
            </w:r>
          </w:p>
        </w:tc>
        <w:tc>
          <w:tcPr>
            <w:tcW w:type="dxa" w:w="283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Anticipazioni chiuse contabilmente</w:t>
            </w:r>
          </w:p>
        </w:tc>
        <w:tc>
          <w:tcPr>
            <w:tcW w:type="dxa" w:w="1247"/>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8A919B"/>
                <w:sz w:val="17"/>
              </w:rPr>
              <w:t>n.d.</w:t>
            </w:r>
          </w:p>
        </w:tc>
        <w:tc>
          <w:tcPr>
            <w:tcW w:type="dxa" w:w="1077"/>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656665"/>
                <w:sz w:val="17"/>
              </w:rPr>
              <w:t>&gt; 0</w:t>
            </w:r>
          </w:p>
        </w:tc>
        <w:tc>
          <w:tcPr>
            <w:tcW w:type="dxa" w:w="1191"/>
            <w:tcBorders>
              <w:top w:val="nil"/>
              <w:left w:val="nil"/>
              <w:bottom w:val="single" w:sz="4" w:color="E5E1D5"/>
              <w:right w:val="nil"/>
            </w:tcBorders>
            <w:shd w:val="clear" w:color="auto" w:fill="EEF0F2"/>
            <w:tcMar>
              <w:top w:w="50" w:type="dxa"/>
              <w:left w:w="80" w:type="dxa"/>
              <w:bottom w:w="50" w:type="dxa"/>
              <w:right w:w="80" w:type="dxa"/>
            </w:tcMar>
          </w:tcPr>
          <w:p>
            <w:pPr>
              <w:spacing w:after="0"/>
              <w:jc w:val="center"/>
            </w:pPr>
            <w:r>
              <w:rPr>
                <w:rFonts w:ascii="Calibri" w:hAnsi="Calibri" w:eastAsia="Calibri" w:cs="Calibri"/>
                <w:b/>
                <w:i w:val="0"/>
                <w:color w:val="8A919B"/>
                <w:sz w:val="16"/>
              </w:rPr>
              <w:t>n.d.</w:t>
            </w:r>
          </w:p>
        </w:tc>
        <w:tc>
          <w:tcPr>
            <w:tcW w:type="dxa" w:w="2608"/>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656665"/>
                <w:sz w:val="15"/>
              </w:rPr>
              <w:t>Allegato l BDAP: non superato</w:t>
            </w:r>
          </w:p>
        </w:tc>
      </w:tr>
      <w:tr>
        <w:trPr>
          <w:cantSplit/>
        </w:trPr>
        <w:tc>
          <w:tcPr>
            <w:tcW w:type="dxa" w:w="680"/>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P4</w:t>
            </w:r>
          </w:p>
        </w:tc>
        <w:tc>
          <w:tcPr>
            <w:tcW w:type="dxa" w:w="283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Sostenibilità debiti finanziari</w:t>
            </w:r>
          </w:p>
        </w:tc>
        <w:tc>
          <w:tcPr>
            <w:tcW w:type="dxa" w:w="1247"/>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0,32 %</w:t>
            </w:r>
          </w:p>
        </w:tc>
        <w:tc>
          <w:tcPr>
            <w:tcW w:type="dxa" w:w="1077"/>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656665"/>
                <w:sz w:val="17"/>
              </w:rPr>
              <w:t>&gt; 14%</w:t>
            </w:r>
          </w:p>
        </w:tc>
        <w:tc>
          <w:tcPr>
            <w:tcW w:type="dxa" w:w="1191"/>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rispettato</w:t>
            </w:r>
          </w:p>
        </w:tc>
        <w:tc>
          <w:tcPr>
            <w:tcW w:type="dxa" w:w="2608"/>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656665"/>
                <w:sz w:val="15"/>
              </w:rPr>
              <w:t>Calcolato da dati BDAP/SIOPE (Allegato l: non superato)</w:t>
            </w:r>
          </w:p>
        </w:tc>
      </w:tr>
      <w:tr>
        <w:trPr>
          <w:cantSplit/>
        </w:trPr>
        <w:tc>
          <w:tcPr>
            <w:tcW w:type="dxa" w:w="680"/>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P5</w:t>
            </w:r>
          </w:p>
        </w:tc>
        <w:tc>
          <w:tcPr>
            <w:tcW w:type="dxa" w:w="283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Sostenibilità disavanzo</w:t>
            </w:r>
          </w:p>
        </w:tc>
        <w:tc>
          <w:tcPr>
            <w:tcW w:type="dxa" w:w="1247"/>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0,00 %</w:t>
            </w:r>
          </w:p>
        </w:tc>
        <w:tc>
          <w:tcPr>
            <w:tcW w:type="dxa" w:w="1077"/>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656665"/>
                <w:sz w:val="17"/>
              </w:rPr>
              <w:t>&gt; 1,20%</w:t>
            </w:r>
          </w:p>
        </w:tc>
        <w:tc>
          <w:tcPr>
            <w:tcW w:type="dxa" w:w="1191"/>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rispettato</w:t>
            </w:r>
          </w:p>
        </w:tc>
        <w:tc>
          <w:tcPr>
            <w:tcW w:type="dxa" w:w="2608"/>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656665"/>
                <w:sz w:val="15"/>
              </w:rPr>
              <w:t>Calcolato da dati BDAP/SIOPE (Allegato l: non superato)</w:t>
            </w:r>
          </w:p>
        </w:tc>
      </w:tr>
      <w:tr>
        <w:trPr>
          <w:cantSplit/>
        </w:trPr>
        <w:tc>
          <w:tcPr>
            <w:tcW w:type="dxa" w:w="680"/>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P6</w:t>
            </w:r>
          </w:p>
        </w:tc>
        <w:tc>
          <w:tcPr>
            <w:tcW w:type="dxa" w:w="283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Debiti riconosciuti e finanziati</w:t>
            </w:r>
          </w:p>
        </w:tc>
        <w:tc>
          <w:tcPr>
            <w:tcW w:type="dxa" w:w="1247"/>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8A919B"/>
                <w:sz w:val="17"/>
              </w:rPr>
              <w:t>n.d.</w:t>
            </w:r>
          </w:p>
        </w:tc>
        <w:tc>
          <w:tcPr>
            <w:tcW w:type="dxa" w:w="1077"/>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656665"/>
                <w:sz w:val="17"/>
              </w:rPr>
              <w:t>&gt; 1%</w:t>
            </w:r>
          </w:p>
        </w:tc>
        <w:tc>
          <w:tcPr>
            <w:tcW w:type="dxa" w:w="1191"/>
            <w:tcBorders>
              <w:top w:val="nil"/>
              <w:left w:val="nil"/>
              <w:bottom w:val="single" w:sz="4" w:color="E5E1D5"/>
              <w:right w:val="nil"/>
            </w:tcBorders>
            <w:shd w:val="clear" w:color="auto" w:fill="EEF0F2"/>
            <w:tcMar>
              <w:top w:w="50" w:type="dxa"/>
              <w:left w:w="80" w:type="dxa"/>
              <w:bottom w:w="50" w:type="dxa"/>
              <w:right w:w="80" w:type="dxa"/>
            </w:tcMar>
          </w:tcPr>
          <w:p>
            <w:pPr>
              <w:spacing w:after="0"/>
              <w:jc w:val="center"/>
            </w:pPr>
            <w:r>
              <w:rPr>
                <w:rFonts w:ascii="Calibri" w:hAnsi="Calibri" w:eastAsia="Calibri" w:cs="Calibri"/>
                <w:b/>
                <w:i w:val="0"/>
                <w:color w:val="8A919B"/>
                <w:sz w:val="16"/>
              </w:rPr>
              <w:t>n.d.</w:t>
            </w:r>
          </w:p>
        </w:tc>
        <w:tc>
          <w:tcPr>
            <w:tcW w:type="dxa" w:w="2608"/>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656665"/>
                <w:sz w:val="15"/>
              </w:rPr>
              <w:t>Allegato l BDAP: non superato</w:t>
            </w:r>
          </w:p>
        </w:tc>
      </w:tr>
      <w:tr>
        <w:trPr>
          <w:cantSplit/>
        </w:trPr>
        <w:tc>
          <w:tcPr>
            <w:tcW w:type="dxa" w:w="680"/>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P7</w:t>
            </w:r>
          </w:p>
        </w:tc>
        <w:tc>
          <w:tcPr>
            <w:tcW w:type="dxa" w:w="283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Debiti in corso di riconoscimento</w:t>
            </w:r>
          </w:p>
        </w:tc>
        <w:tc>
          <w:tcPr>
            <w:tcW w:type="dxa" w:w="1247"/>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8A919B"/>
                <w:sz w:val="17"/>
              </w:rPr>
              <w:t>n.d.</w:t>
            </w:r>
          </w:p>
        </w:tc>
        <w:tc>
          <w:tcPr>
            <w:tcW w:type="dxa" w:w="1077"/>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656665"/>
                <w:sz w:val="17"/>
              </w:rPr>
              <w:t>&gt; 0,60%</w:t>
            </w:r>
          </w:p>
        </w:tc>
        <w:tc>
          <w:tcPr>
            <w:tcW w:type="dxa" w:w="1191"/>
            <w:tcBorders>
              <w:top w:val="nil"/>
              <w:left w:val="nil"/>
              <w:bottom w:val="single" w:sz="4" w:color="E5E1D5"/>
              <w:right w:val="nil"/>
            </w:tcBorders>
            <w:shd w:val="clear" w:color="auto" w:fill="EEF0F2"/>
            <w:tcMar>
              <w:top w:w="50" w:type="dxa"/>
              <w:left w:w="80" w:type="dxa"/>
              <w:bottom w:w="50" w:type="dxa"/>
              <w:right w:w="80" w:type="dxa"/>
            </w:tcMar>
          </w:tcPr>
          <w:p>
            <w:pPr>
              <w:spacing w:after="0"/>
              <w:jc w:val="center"/>
            </w:pPr>
            <w:r>
              <w:rPr>
                <w:rFonts w:ascii="Calibri" w:hAnsi="Calibri" w:eastAsia="Calibri" w:cs="Calibri"/>
                <w:b/>
                <w:i w:val="0"/>
                <w:color w:val="8A919B"/>
                <w:sz w:val="16"/>
              </w:rPr>
              <w:t>n.d.</w:t>
            </w:r>
          </w:p>
        </w:tc>
        <w:tc>
          <w:tcPr>
            <w:tcW w:type="dxa" w:w="2608"/>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656665"/>
                <w:sz w:val="15"/>
              </w:rPr>
              <w:t>Allegato l BDAP: non superato</w:t>
            </w:r>
          </w:p>
        </w:tc>
      </w:tr>
      <w:tr>
        <w:trPr>
          <w:cantSplit/>
        </w:trPr>
        <w:tc>
          <w:tcPr>
            <w:tcW w:type="dxa" w:w="680"/>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P8</w:t>
            </w:r>
          </w:p>
        </w:tc>
        <w:tc>
          <w:tcPr>
            <w:tcW w:type="dxa" w:w="283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Capacità di riscossione totale</w:t>
            </w:r>
          </w:p>
        </w:tc>
        <w:tc>
          <w:tcPr>
            <w:tcW w:type="dxa" w:w="1247"/>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94,90 %</w:t>
            </w:r>
          </w:p>
        </w:tc>
        <w:tc>
          <w:tcPr>
            <w:tcW w:type="dxa" w:w="1077"/>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656665"/>
                <w:sz w:val="17"/>
              </w:rPr>
              <w:t>&lt; 54%</w:t>
            </w:r>
          </w:p>
        </w:tc>
        <w:tc>
          <w:tcPr>
            <w:tcW w:type="dxa" w:w="1191"/>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rispettato</w:t>
            </w:r>
          </w:p>
        </w:tc>
        <w:tc>
          <w:tcPr>
            <w:tcW w:type="dxa" w:w="2608"/>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656665"/>
                <w:sz w:val="15"/>
              </w:rPr>
              <w:t>Calcolato da dati BDAP/SIOPE (Allegato l: non superato)</w:t>
            </w:r>
          </w:p>
        </w:tc>
      </w:tr>
      <w:tr>
        <w:trPr>
          <w:cantSplit/>
        </w:trPr>
        <w:tc>
          <w:tcPr>
            <w:tcW w:type="dxa" w:w="680"/>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P9</w:t>
            </w:r>
          </w:p>
        </w:tc>
        <w:tc>
          <w:tcPr>
            <w:tcW w:type="dxa" w:w="283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Residui attivi nuova formazione</w:t>
            </w:r>
          </w:p>
        </w:tc>
        <w:tc>
          <w:tcPr>
            <w:tcW w:type="dxa" w:w="1247"/>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9,20 %</w:t>
            </w:r>
          </w:p>
        </w:tc>
        <w:tc>
          <w:tcPr>
            <w:tcW w:type="dxa" w:w="1077"/>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656665"/>
                <w:sz w:val="17"/>
              </w:rPr>
              <w:t>&gt; 42%</w:t>
            </w:r>
          </w:p>
        </w:tc>
        <w:tc>
          <w:tcPr>
            <w:tcW w:type="dxa" w:w="1191"/>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rispettato</w:t>
            </w:r>
          </w:p>
        </w:tc>
        <w:tc>
          <w:tcPr>
            <w:tcW w:type="dxa" w:w="2608"/>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656665"/>
                <w:sz w:val="15"/>
              </w:rPr>
              <w:t>Da rendiconto BDAP - Tit. I, II, III</w:t>
            </w:r>
          </w:p>
        </w:tc>
      </w:tr>
      <w:tr>
        <w:trPr>
          <w:cantSplit/>
        </w:trPr>
        <w:tc>
          <w:tcPr>
            <w:tcW w:type="dxa" w:w="680"/>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P10</w:t>
            </w:r>
          </w:p>
        </w:tc>
        <w:tc>
          <w:tcPr>
            <w:tcW w:type="dxa" w:w="283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Smaltimento residui attivi</w:t>
            </w:r>
          </w:p>
        </w:tc>
        <w:tc>
          <w:tcPr>
            <w:tcW w:type="dxa" w:w="1247"/>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8A919B"/>
                <w:sz w:val="17"/>
              </w:rPr>
              <w:t>n.d.</w:t>
            </w:r>
          </w:p>
        </w:tc>
        <w:tc>
          <w:tcPr>
            <w:tcW w:type="dxa" w:w="1077"/>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656665"/>
                <w:sz w:val="17"/>
              </w:rPr>
              <w:t>&gt; 65%</w:t>
            </w:r>
          </w:p>
        </w:tc>
        <w:tc>
          <w:tcPr>
            <w:tcW w:type="dxa" w:w="1191"/>
            <w:tcBorders>
              <w:top w:val="nil"/>
              <w:left w:val="nil"/>
              <w:bottom w:val="single" w:sz="4" w:color="E5E1D5"/>
              <w:right w:val="nil"/>
            </w:tcBorders>
            <w:shd w:val="clear" w:color="auto" w:fill="EEF0F2"/>
            <w:tcMar>
              <w:top w:w="50" w:type="dxa"/>
              <w:left w:w="80" w:type="dxa"/>
              <w:bottom w:w="50" w:type="dxa"/>
              <w:right w:w="80" w:type="dxa"/>
            </w:tcMar>
          </w:tcPr>
          <w:p>
            <w:pPr>
              <w:spacing w:after="0"/>
              <w:jc w:val="center"/>
            </w:pPr>
            <w:r>
              <w:rPr>
                <w:rFonts w:ascii="Calibri" w:hAnsi="Calibri" w:eastAsia="Calibri" w:cs="Calibri"/>
                <w:b/>
                <w:i w:val="0"/>
                <w:color w:val="8A919B"/>
                <w:sz w:val="16"/>
              </w:rPr>
              <w:t>n.d.</w:t>
            </w:r>
          </w:p>
        </w:tc>
        <w:tc>
          <w:tcPr>
            <w:tcW w:type="dxa" w:w="2608"/>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656665"/>
                <w:sz w:val="15"/>
              </w:rPr>
              <w:t>Dato non calcolabile da open data BDAP - richiede residui attivi iniziali da rendiconto dettagliato</w:t>
            </w:r>
          </w:p>
        </w:tc>
      </w:tr>
    </w:tbl>
    <w:p>
      <w:pPr>
        <w:spacing w:after="120" w:before="0"/>
      </w:pPr>
    </w:p>
    <w:tbl>
      <w:tblPr>
        <w:tblW w:type="dxa" w:w="9638"/>
        <w:jc w:val="center"/>
        <w:tblLayout w:type="fixed"/>
        <w:tblLook w:firstColumn="1" w:firstRow="1" w:lastColumn="0" w:lastRow="0" w:noHBand="0" w:noVBand="1" w:val="04A0"/>
      </w:tblPr>
      <w:tblGrid>
        <w:gridCol w:w="9638"/>
      </w:tblGrid>
      <w:tr>
        <w:trPr>
          <w:cantSplit/>
        </w:trPr>
        <w:tc>
          <w:tcPr>
            <w:tcW w:type="dxa" w:w="9638"/>
            <w:tcBorders>
              <w:top w:val="nil"/>
              <w:left w:val="single" w:sz="36" w:color="2E7D52"/>
              <w:bottom w:val="nil"/>
              <w:right w:val="nil"/>
            </w:tcBorders>
            <w:shd w:val="clear" w:color="auto" w:fill="E2F0E7"/>
            <w:tcMar>
              <w:top w:w="110" w:type="dxa"/>
              <w:left w:w="200" w:type="dxa"/>
              <w:bottom w:w="110" w:type="dxa"/>
              <w:right w:w="160" w:type="dxa"/>
            </w:tcMar>
          </w:tcPr>
          <w:p>
            <w:pPr>
              <w:spacing w:after="60"/>
            </w:pPr>
            <w:r>
              <w:rPr>
                <w:rFonts w:ascii="Calibri" w:hAnsi="Calibri" w:eastAsia="Calibri" w:cs="Calibri"/>
                <w:b/>
                <w:i w:val="0"/>
                <w:color w:val="2E7D52"/>
                <w:sz w:val="19"/>
              </w:rPr>
              <w:t>Esito Sezione A</w:t>
            </w:r>
          </w:p>
          <w:p>
            <w:pPr>
              <w:spacing w:after="40"/>
              <w:jc w:val="both"/>
            </w:pPr>
            <w:r>
              <w:rPr>
                <w:rFonts w:ascii="Calibri" w:hAnsi="Calibri" w:eastAsia="Calibri" w:cs="Calibri"/>
                <w:b w:val="0"/>
                <w:i w:val="0"/>
                <w:color w:val="333333"/>
                <w:sz w:val="20"/>
              </w:rPr>
              <w:t xml:space="preserve">Su 6 parametri calcolabili, 0 risultano critici. </w:t>
            </w:r>
            <w:r>
              <w:rPr>
                <w:rFonts w:ascii="Calibri" w:hAnsi="Calibri" w:eastAsia="Calibri" w:cs="Calibri"/>
                <w:b w:val="0"/>
                <w:i w:val="0"/>
                <w:color w:val="333333"/>
                <w:sz w:val="20"/>
              </w:rPr>
              <w:t xml:space="preserve">L'Ente </w:t>
            </w:r>
            <w:r>
              <w:rPr>
                <w:rFonts w:ascii="Calibri" w:hAnsi="Calibri" w:eastAsia="Calibri" w:cs="Calibri"/>
                <w:b/>
                <w:i w:val="0"/>
                <w:color w:val="333333"/>
                <w:sz w:val="20"/>
              </w:rPr>
              <w:t>NON</w:t>
            </w:r>
            <w:r>
              <w:rPr>
                <w:rFonts w:ascii="Calibri" w:hAnsi="Calibri" w:eastAsia="Calibri" w:cs="Calibri"/>
                <w:b w:val="0"/>
                <w:i w:val="0"/>
                <w:color w:val="333333"/>
                <w:sz w:val="20"/>
              </w:rPr>
              <w:t xml:space="preserve"> si trova in condizioni strutturalmente deficitarie ai sensi dell'art. 242 TUEL e del D.M. 4 agosto 2023.</w:t>
            </w:r>
          </w:p>
        </w:tc>
      </w:tr>
    </w:tbl>
    <w:p>
      <w:pPr>
        <w:spacing w:after="80" w:before="0"/>
      </w:pPr>
    </w:p>
    <w:p>
      <w:pPr>
        <w:pStyle w:val="Heading2"/>
      </w:pPr>
      <w:r>
        <w:rPr>
          <w:rFonts w:ascii="Calibri" w:hAnsi="Calibri" w:eastAsia="Calibri" w:cs="Calibri"/>
          <w:b/>
          <w:i w:val="0"/>
          <w:color w:val="1A396B"/>
          <w:sz w:val="24"/>
        </w:rPr>
        <w:t>4.1  Trend dei parametri nel quinquennio</w:t>
      </w:r>
    </w:p>
    <w:p>
      <w:pPr>
        <w:spacing w:after="160" w:before="0"/>
        <w:jc w:val="both"/>
      </w:pPr>
      <w:r>
        <w:rPr>
          <w:rFonts w:ascii="Calibri" w:hAnsi="Calibri" w:eastAsia="Calibri" w:cs="Calibri"/>
          <w:b w:val="0"/>
          <w:i/>
          <w:color w:val="656665"/>
          <w:sz w:val="19"/>
        </w:rPr>
        <w:t>La matrice mostra l'esito di ciascun parametro anno per anno. Il verde indica il rispetto della soglia, il rosso il superamento. La progressione orizzontale evidenzia i miglioramenti o i peggioramenti registrati dall'ente.</w:t>
      </w:r>
    </w:p>
    <w:p>
      <w:pPr>
        <w:spacing w:after="40" w:before="80"/>
        <w:jc w:val="center"/>
      </w:pPr>
      <w:r>
        <w:drawing>
          <wp:inline xmlns:a="http://schemas.openxmlformats.org/drawingml/2006/main" xmlns:pic="http://schemas.openxmlformats.org/drawingml/2006/picture">
            <wp:extent cx="5940000" cy="2984696"/>
            <wp:docPr id="8" name="Picture 8"/>
            <wp:cNvGraphicFramePr>
              <a:graphicFrameLocks noChangeAspect="1"/>
            </wp:cNvGraphicFramePr>
            <a:graphic>
              <a:graphicData uri="http://schemas.openxmlformats.org/drawingml/2006/picture">
                <pic:pic>
                  <pic:nvPicPr>
                    <pic:cNvPr id="0" name="image.png"/>
                    <pic:cNvPicPr/>
                  </pic:nvPicPr>
                  <pic:blipFill>
                    <a:blip r:embed="rId18"/>
                    <a:stretch>
                      <a:fillRect/>
                    </a:stretch>
                  </pic:blipFill>
                  <pic:spPr>
                    <a:xfrm>
                      <a:off x="0" y="0"/>
                      <a:ext cx="5940000" cy="2984696"/>
                    </a:xfrm>
                    <a:prstGeom prst="rect"/>
                  </pic:spPr>
                </pic:pic>
              </a:graphicData>
            </a:graphic>
          </wp:inline>
        </w:drawing>
      </w:r>
    </w:p>
    <w:p>
      <w:pPr>
        <w:spacing w:after="120" w:before="0"/>
      </w:pPr>
    </w:p>
    <w:p>
      <w:pPr>
        <w:pStyle w:val="Heading1"/>
        <w:pageBreakBefore/>
        <w:pBdr>
          <w:bottom w:val="single" w:sz="8" w:space="4" w:color="C7951E"/>
        </w:pBdr>
      </w:pPr>
      <w:r>
        <w:rPr>
          <w:rFonts w:ascii="Calibri" w:hAnsi="Calibri" w:eastAsia="Calibri" w:cs="Calibri"/>
          <w:b/>
          <w:i w:val="0"/>
          <w:color w:val="C7951E"/>
          <w:sz w:val="30"/>
        </w:rPr>
        <w:t xml:space="preserve">5.  </w:t>
      </w:r>
      <w:r>
        <w:rPr>
          <w:rFonts w:ascii="Calibri" w:hAnsi="Calibri" w:eastAsia="Calibri" w:cs="Calibri"/>
          <w:b/>
          <w:i w:val="0"/>
          <w:color w:val="0F2246"/>
          <w:sz w:val="30"/>
        </w:rPr>
        <w:t>Sezione B, indicatori di rischio finanziario</w:t>
      </w:r>
    </w:p>
    <w:p>
      <w:pPr>
        <w:spacing w:after="160" w:before="0"/>
        <w:jc w:val="both"/>
      </w:pPr>
      <w:r>
        <w:rPr>
          <w:rFonts w:ascii="Calibri" w:hAnsi="Calibri" w:eastAsia="Calibri" w:cs="Calibri"/>
          <w:b w:val="0"/>
          <w:i/>
          <w:color w:val="656665"/>
          <w:sz w:val="19"/>
        </w:rPr>
        <w:t>La mappa del rischio integra i parametri di deficitarietà con un panel di indicatori sentinella tarati sul confronto con la fascia demografica omologa e con la mediana degli enti dissestati. Il motore di calcolo restituisce un livello (basso, medio, alto) per ciascun indicatore.</w:t>
      </w:r>
    </w:p>
    <w:p>
      <w:pPr>
        <w:keepNext/>
        <w:spacing w:after="40" w:before="80"/>
        <w:jc w:val="center"/>
      </w:pPr>
      <w:r>
        <w:drawing>
          <wp:inline xmlns:a="http://schemas.openxmlformats.org/drawingml/2006/main" xmlns:pic="http://schemas.openxmlformats.org/drawingml/2006/picture">
            <wp:extent cx="5940000" cy="3856047"/>
            <wp:docPr id="9" name="Picture 9"/>
            <wp:cNvGraphicFramePr>
              <a:graphicFrameLocks noChangeAspect="1"/>
            </wp:cNvGraphicFramePr>
            <a:graphic>
              <a:graphicData uri="http://schemas.openxmlformats.org/drawingml/2006/picture">
                <pic:pic>
                  <pic:nvPicPr>
                    <pic:cNvPr id="0" name="image.png"/>
                    <pic:cNvPicPr/>
                  </pic:nvPicPr>
                  <pic:blipFill>
                    <a:blip r:embed="rId19"/>
                    <a:stretch>
                      <a:fillRect/>
                    </a:stretch>
                  </pic:blipFill>
                  <pic:spPr>
                    <a:xfrm>
                      <a:off x="0" y="0"/>
                      <a:ext cx="5940000" cy="3856047"/>
                    </a:xfrm>
                    <a:prstGeom prst="rect"/>
                  </pic:spPr>
                </pic:pic>
              </a:graphicData>
            </a:graphic>
          </wp:inline>
        </w:drawing>
      </w:r>
    </w:p>
    <w:p>
      <w:pPr>
        <w:spacing w:after="200" w:before="0"/>
        <w:jc w:val="center"/>
      </w:pPr>
      <w:r>
        <w:rPr>
          <w:rFonts w:ascii="Calibri" w:hAnsi="Calibri" w:eastAsia="Calibri" w:cs="Calibri"/>
          <w:b w:val="0"/>
          <w:i/>
          <w:color w:val="656665"/>
          <w:sz w:val="17"/>
        </w:rPr>
        <w:t>Figura 3. Semaforo per ciascun indicatore. Verde basso, giallo medio, rosso alto.</w:t>
      </w:r>
    </w:p>
    <w:p>
      <w:pPr>
        <w:keepNext/>
        <w:spacing w:after="60" w:before="80"/>
      </w:pPr>
      <w:r>
        <w:rPr>
          <w:rFonts w:ascii="Calibri" w:hAnsi="Calibri" w:eastAsia="Calibri" w:cs="Calibri"/>
          <w:b/>
          <w:i w:val="0"/>
          <w:color w:val="0F2246"/>
          <w:sz w:val="18"/>
        </w:rPr>
        <w:t>Tabella 3. Indicatori di rischio, esercizio 2021</w:t>
      </w:r>
    </w:p>
    <w:tbl>
      <w:tblPr>
        <w:tblW w:type="dxa" w:w="9638"/>
        <w:jc w:val="center"/>
        <w:tblLayout w:type="fixed"/>
        <w:tblLook w:firstColumn="1" w:firstRow="1" w:lastColumn="0" w:lastRow="0" w:noHBand="0" w:noVBand="1" w:val="04A0"/>
      </w:tblPr>
      <w:tblGrid>
        <w:gridCol w:w="2948"/>
        <w:gridCol w:w="907"/>
        <w:gridCol w:w="1191"/>
        <w:gridCol w:w="1134"/>
        <w:gridCol w:w="1134"/>
        <w:gridCol w:w="1020"/>
        <w:gridCol w:w="1304"/>
      </w:tblGrid>
      <w:tr>
        <w:trPr>
          <w:cantSplit/>
          <w:tblHeader/>
        </w:trPr>
        <w:tc>
          <w:tcPr>
            <w:tcW w:type="dxa" w:w="2948"/>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6"/>
              </w:rPr>
              <w:t>Indicatore</w:t>
            </w:r>
          </w:p>
        </w:tc>
        <w:tc>
          <w:tcPr>
            <w:tcW w:type="dxa" w:w="907"/>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6"/>
              </w:rPr>
              <w:t>Fonte</w:t>
            </w:r>
          </w:p>
        </w:tc>
        <w:tc>
          <w:tcPr>
            <w:tcW w:type="dxa" w:w="1191"/>
            <w:shd w:val="clear" w:color="auto" w:fill="0F2246"/>
            <w:tcMar>
              <w:top w:w="50" w:type="dxa"/>
              <w:left w:w="80" w:type="dxa"/>
              <w:bottom w:w="50" w:type="dxa"/>
              <w:right w:w="80" w:type="dxa"/>
            </w:tcMar>
          </w:tcPr>
          <w:p>
            <w:pPr>
              <w:spacing w:after="0"/>
              <w:jc w:val="right"/>
            </w:pPr>
            <w:r>
              <w:rPr>
                <w:rFonts w:ascii="Calibri" w:hAnsi="Calibri" w:eastAsia="Calibri" w:cs="Calibri"/>
                <w:b/>
                <w:i w:val="0"/>
                <w:color w:val="FFFFFF"/>
                <w:sz w:val="16"/>
              </w:rPr>
              <w:t>Valore ente</w:t>
            </w:r>
          </w:p>
        </w:tc>
        <w:tc>
          <w:tcPr>
            <w:tcW w:type="dxa" w:w="1134"/>
            <w:shd w:val="clear" w:color="auto" w:fill="0F2246"/>
            <w:tcMar>
              <w:top w:w="50" w:type="dxa"/>
              <w:left w:w="80" w:type="dxa"/>
              <w:bottom w:w="50" w:type="dxa"/>
              <w:right w:w="80" w:type="dxa"/>
            </w:tcMar>
          </w:tcPr>
          <w:p>
            <w:pPr>
              <w:spacing w:after="0"/>
              <w:jc w:val="right"/>
            </w:pPr>
            <w:r>
              <w:rPr>
                <w:rFonts w:ascii="Calibri" w:hAnsi="Calibri" w:eastAsia="Calibri" w:cs="Calibri"/>
                <w:b/>
                <w:i w:val="0"/>
                <w:color w:val="FFFFFF"/>
                <w:sz w:val="16"/>
              </w:rPr>
              <w:t>Mediana fascia</w:t>
            </w:r>
          </w:p>
        </w:tc>
        <w:tc>
          <w:tcPr>
            <w:tcW w:type="dxa" w:w="1134"/>
            <w:shd w:val="clear" w:color="auto" w:fill="0F2246"/>
            <w:tcMar>
              <w:top w:w="50" w:type="dxa"/>
              <w:left w:w="80" w:type="dxa"/>
              <w:bottom w:w="50" w:type="dxa"/>
              <w:right w:w="80" w:type="dxa"/>
            </w:tcMar>
          </w:tcPr>
          <w:p>
            <w:pPr>
              <w:spacing w:after="0"/>
              <w:jc w:val="right"/>
            </w:pPr>
            <w:r>
              <w:rPr>
                <w:rFonts w:ascii="Calibri" w:hAnsi="Calibri" w:eastAsia="Calibri" w:cs="Calibri"/>
                <w:b/>
                <w:i w:val="0"/>
                <w:color w:val="FFFFFF"/>
                <w:sz w:val="16"/>
              </w:rPr>
              <w:t>Med. dissestati</w:t>
            </w:r>
          </w:p>
        </w:tc>
        <w:tc>
          <w:tcPr>
            <w:tcW w:type="dxa" w:w="1020"/>
            <w:shd w:val="clear" w:color="auto" w:fill="0F2246"/>
            <w:tcMar>
              <w:top w:w="50" w:type="dxa"/>
              <w:left w:w="80" w:type="dxa"/>
              <w:bottom w:w="50" w:type="dxa"/>
              <w:right w:w="80" w:type="dxa"/>
            </w:tcMar>
          </w:tcPr>
          <w:p>
            <w:pPr>
              <w:spacing w:after="0"/>
              <w:jc w:val="center"/>
            </w:pPr>
            <w:r>
              <w:rPr>
                <w:rFonts w:ascii="Calibri" w:hAnsi="Calibri" w:eastAsia="Calibri" w:cs="Calibri"/>
                <w:b/>
                <w:i w:val="0"/>
                <w:color w:val="FFFFFF"/>
                <w:sz w:val="16"/>
              </w:rPr>
              <w:t>Livello</w:t>
            </w:r>
          </w:p>
        </w:tc>
        <w:tc>
          <w:tcPr>
            <w:tcW w:type="dxa" w:w="1304"/>
            <w:shd w:val="clear" w:color="auto" w:fill="0F2246"/>
            <w:tcMar>
              <w:top w:w="50" w:type="dxa"/>
              <w:left w:w="80" w:type="dxa"/>
              <w:bottom w:w="50" w:type="dxa"/>
              <w:right w:w="80" w:type="dxa"/>
            </w:tcMar>
          </w:tcPr>
          <w:p>
            <w:pPr>
              <w:spacing w:after="0"/>
              <w:jc w:val="center"/>
            </w:pPr>
            <w:r>
              <w:rPr>
                <w:rFonts w:ascii="Calibri" w:hAnsi="Calibri" w:eastAsia="Calibri" w:cs="Calibri"/>
                <w:b/>
                <w:i w:val="0"/>
                <w:color w:val="FFFFFF"/>
                <w:sz w:val="16"/>
              </w:rPr>
              <w:t>Esito</w:t>
            </w:r>
          </w:p>
        </w:tc>
      </w:tr>
      <w:tr>
        <w:trPr>
          <w:cantSplit/>
        </w:trPr>
        <w:tc>
          <w:tcPr>
            <w:tcW w:type="dxa" w:w="2948"/>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6"/>
              </w:rPr>
              <w:t>Entrate pro-capite</w:t>
            </w:r>
          </w:p>
          <w:p>
            <w:pPr>
              <w:spacing w:after="0"/>
              <w:jc w:val="left"/>
            </w:pPr>
            <w:r>
              <w:rPr>
                <w:rFonts w:ascii="Calibri" w:hAnsi="Calibri" w:eastAsia="Calibri" w:cs="Calibri"/>
                <w:b w:val="0"/>
                <w:i w:val="0"/>
                <w:color w:val="656665"/>
                <w:sz w:val="14"/>
              </w:rPr>
              <w:t>Totale entrate di cassa per abitante</w:t>
            </w:r>
          </w:p>
        </w:tc>
        <w:tc>
          <w:tcPr>
            <w:tcW w:type="dxa" w:w="907"/>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656665"/>
                <w:sz w:val="15"/>
              </w:rPr>
              <w:t>SIOPE</w:t>
            </w:r>
          </w:p>
        </w:tc>
        <w:tc>
          <w:tcPr>
            <w:tcW w:type="dxa" w:w="119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333333"/>
                <w:sz w:val="16"/>
              </w:rPr>
              <w:t>2.784,0</w:t>
            </w:r>
          </w:p>
          <w:p>
            <w:pPr>
              <w:spacing w:after="0"/>
              <w:jc w:val="right"/>
            </w:pPr>
            <w:r>
              <w:rPr>
                <w:rFonts w:ascii="Calibri" w:hAnsi="Calibri" w:eastAsia="Calibri" w:cs="Calibri"/>
                <w:b w:val="0"/>
                <w:i w:val="0"/>
                <w:color w:val="656665"/>
                <w:sz w:val="14"/>
              </w:rPr>
              <w:t>€/ab</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6"/>
              </w:rPr>
              <w:t>2.650,0</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656665"/>
                <w:sz w:val="16"/>
              </w:rPr>
              <w:t>3.308,0</w:t>
            </w:r>
          </w:p>
        </w:tc>
        <w:tc>
          <w:tcPr>
            <w:tcW w:type="dxa" w:w="1020"/>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333333"/>
                <w:sz w:val="16"/>
              </w:rPr>
              <w:t>BASSO</w:t>
            </w:r>
          </w:p>
        </w:tc>
        <w:tc>
          <w:tcPr>
            <w:tcW w:type="dxa" w:w="1304"/>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ok</w:t>
            </w:r>
          </w:p>
        </w:tc>
      </w:tr>
      <w:tr>
        <w:trPr>
          <w:cantSplit/>
        </w:trPr>
        <w:tc>
          <w:tcPr>
            <w:tcW w:type="dxa" w:w="2948"/>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6"/>
              </w:rPr>
              <w:t>Autonomia finanziaria</w:t>
            </w:r>
          </w:p>
          <w:p>
            <w:pPr>
              <w:spacing w:after="0"/>
              <w:jc w:val="left"/>
            </w:pPr>
            <w:r>
              <w:rPr>
                <w:rFonts w:ascii="Calibri" w:hAnsi="Calibri" w:eastAsia="Calibri" w:cs="Calibri"/>
                <w:b w:val="0"/>
                <w:i w:val="0"/>
                <w:color w:val="656665"/>
                <w:sz w:val="14"/>
              </w:rPr>
              <w:t>% entrate proprie (tributarie + extratributarie) su totale</w:t>
            </w:r>
          </w:p>
        </w:tc>
        <w:tc>
          <w:tcPr>
            <w:tcW w:type="dxa" w:w="907"/>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656665"/>
                <w:sz w:val="15"/>
              </w:rPr>
              <w:t>SIOPE</w:t>
            </w:r>
          </w:p>
        </w:tc>
        <w:tc>
          <w:tcPr>
            <w:tcW w:type="dxa" w:w="119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333333"/>
                <w:sz w:val="16"/>
              </w:rPr>
              <w:t>25,3</w:t>
            </w:r>
          </w:p>
          <w:p>
            <w:pPr>
              <w:spacing w:after="0"/>
              <w:jc w:val="right"/>
            </w:pPr>
            <w:r>
              <w:rPr>
                <w:rFonts w:ascii="Calibri" w:hAnsi="Calibri" w:eastAsia="Calibri" w:cs="Calibri"/>
                <w:b w:val="0"/>
                <w:i w:val="0"/>
                <w:color w:val="656665"/>
                <w:sz w:val="14"/>
              </w:rPr>
              <w:t>%</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6"/>
              </w:rPr>
              <w:t>28,5</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656665"/>
                <w:sz w:val="16"/>
              </w:rPr>
              <w:t>21,6</w:t>
            </w:r>
          </w:p>
        </w:tc>
        <w:tc>
          <w:tcPr>
            <w:tcW w:type="dxa" w:w="1020"/>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333333"/>
                <w:sz w:val="16"/>
              </w:rPr>
              <w:t>MEDIO</w:t>
            </w:r>
          </w:p>
        </w:tc>
        <w:tc>
          <w:tcPr>
            <w:tcW w:type="dxa" w:w="1304"/>
            <w:tcBorders>
              <w:top w:val="nil"/>
              <w:left w:val="nil"/>
              <w:bottom w:val="single" w:sz="4" w:color="E5E1D5"/>
              <w:right w:val="nil"/>
            </w:tcBorders>
            <w:shd w:val="clear" w:color="auto" w:fill="FBEBD6"/>
            <w:tcMar>
              <w:top w:w="50" w:type="dxa"/>
              <w:left w:w="80" w:type="dxa"/>
              <w:bottom w:w="50" w:type="dxa"/>
              <w:right w:w="80" w:type="dxa"/>
            </w:tcMar>
          </w:tcPr>
          <w:p>
            <w:pPr>
              <w:spacing w:after="0"/>
              <w:jc w:val="center"/>
            </w:pPr>
            <w:r>
              <w:rPr>
                <w:rFonts w:ascii="Calibri" w:hAnsi="Calibri" w:eastAsia="Calibri" w:cs="Calibri"/>
                <w:b/>
                <w:i w:val="0"/>
                <w:color w:val="D98A2B"/>
                <w:sz w:val="16"/>
              </w:rPr>
              <w:t>attenzione</w:t>
            </w:r>
          </w:p>
        </w:tc>
      </w:tr>
      <w:tr>
        <w:trPr>
          <w:cantSplit/>
        </w:trPr>
        <w:tc>
          <w:tcPr>
            <w:tcW w:type="dxa" w:w="2948"/>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6"/>
              </w:rPr>
              <w:t>Rigidità strutturale</w:t>
            </w:r>
          </w:p>
          <w:p>
            <w:pPr>
              <w:spacing w:after="0"/>
              <w:jc w:val="left"/>
            </w:pPr>
            <w:r>
              <w:rPr>
                <w:rFonts w:ascii="Calibri" w:hAnsi="Calibri" w:eastAsia="Calibri" w:cs="Calibri"/>
                <w:b w:val="0"/>
                <w:i w:val="0"/>
                <w:color w:val="656665"/>
                <w:sz w:val="14"/>
              </w:rPr>
              <w:t>% spese rigide (personale + debito) su entrate correnti</w:t>
            </w:r>
          </w:p>
        </w:tc>
        <w:tc>
          <w:tcPr>
            <w:tcW w:type="dxa" w:w="907"/>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656665"/>
                <w:sz w:val="15"/>
              </w:rPr>
              <w:t>SIOPE</w:t>
            </w:r>
          </w:p>
        </w:tc>
        <w:tc>
          <w:tcPr>
            <w:tcW w:type="dxa" w:w="119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333333"/>
                <w:sz w:val="16"/>
              </w:rPr>
              <w:t>7,7</w:t>
            </w:r>
          </w:p>
          <w:p>
            <w:pPr>
              <w:spacing w:after="0"/>
              <w:jc w:val="right"/>
            </w:pPr>
            <w:r>
              <w:rPr>
                <w:rFonts w:ascii="Calibri" w:hAnsi="Calibri" w:eastAsia="Calibri" w:cs="Calibri"/>
                <w:b w:val="0"/>
                <w:i w:val="0"/>
                <w:color w:val="656665"/>
                <w:sz w:val="14"/>
              </w:rPr>
              <w:t>%</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6"/>
              </w:rPr>
              <w:t>13,0</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656665"/>
                <w:sz w:val="16"/>
              </w:rPr>
              <w:t>13,8</w:t>
            </w:r>
          </w:p>
        </w:tc>
        <w:tc>
          <w:tcPr>
            <w:tcW w:type="dxa" w:w="1020"/>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333333"/>
                <w:sz w:val="16"/>
              </w:rPr>
              <w:t>BASSO</w:t>
            </w:r>
          </w:p>
        </w:tc>
        <w:tc>
          <w:tcPr>
            <w:tcW w:type="dxa" w:w="1304"/>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ok</w:t>
            </w:r>
          </w:p>
        </w:tc>
      </w:tr>
      <w:tr>
        <w:trPr>
          <w:cantSplit/>
        </w:trPr>
        <w:tc>
          <w:tcPr>
            <w:tcW w:type="dxa" w:w="2948"/>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6"/>
              </w:rPr>
              <w:t>Riscossione Entrate Tributarie</w:t>
            </w:r>
          </w:p>
          <w:p>
            <w:pPr>
              <w:spacing w:after="0"/>
              <w:jc w:val="left"/>
            </w:pPr>
            <w:r>
              <w:rPr>
                <w:rFonts w:ascii="Calibri" w:hAnsi="Calibri" w:eastAsia="Calibri" w:cs="Calibri"/>
                <w:b w:val="0"/>
                <w:i w:val="0"/>
                <w:color w:val="656665"/>
                <w:sz w:val="14"/>
              </w:rPr>
              <w:t>% riscosso su accertato per entrate Titolo I (tributarie)</w:t>
            </w:r>
          </w:p>
        </w:tc>
        <w:tc>
          <w:tcPr>
            <w:tcW w:type="dxa" w:w="907"/>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656665"/>
                <w:sz w:val="15"/>
              </w:rPr>
              <w:t>BDAP Rendiconto</w:t>
            </w:r>
          </w:p>
        </w:tc>
        <w:tc>
          <w:tcPr>
            <w:tcW w:type="dxa" w:w="119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333333"/>
                <w:sz w:val="16"/>
              </w:rPr>
              <w:t>102,2</w:t>
            </w:r>
          </w:p>
          <w:p>
            <w:pPr>
              <w:spacing w:after="0"/>
              <w:jc w:val="right"/>
            </w:pPr>
            <w:r>
              <w:rPr>
                <w:rFonts w:ascii="Calibri" w:hAnsi="Calibri" w:eastAsia="Calibri" w:cs="Calibri"/>
                <w:b w:val="0"/>
                <w:i w:val="0"/>
                <w:color w:val="656665"/>
                <w:sz w:val="14"/>
              </w:rPr>
              <w:t>%</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6"/>
              </w:rPr>
              <w:t>87,5</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656665"/>
                <w:sz w:val="16"/>
              </w:rPr>
              <w:t>74,9</w:t>
            </w:r>
          </w:p>
        </w:tc>
        <w:tc>
          <w:tcPr>
            <w:tcW w:type="dxa" w:w="1020"/>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333333"/>
                <w:sz w:val="16"/>
              </w:rPr>
              <w:t>BASSO</w:t>
            </w:r>
          </w:p>
        </w:tc>
        <w:tc>
          <w:tcPr>
            <w:tcW w:type="dxa" w:w="1304"/>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ok</w:t>
            </w:r>
          </w:p>
        </w:tc>
      </w:tr>
      <w:tr>
        <w:trPr>
          <w:cantSplit/>
        </w:trPr>
        <w:tc>
          <w:tcPr>
            <w:tcW w:type="dxa" w:w="2948"/>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6"/>
              </w:rPr>
              <w:t>Riscossione Entrate Extratributarie</w:t>
            </w:r>
          </w:p>
          <w:p>
            <w:pPr>
              <w:spacing w:after="0"/>
              <w:jc w:val="left"/>
            </w:pPr>
            <w:r>
              <w:rPr>
                <w:rFonts w:ascii="Calibri" w:hAnsi="Calibri" w:eastAsia="Calibri" w:cs="Calibri"/>
                <w:b w:val="0"/>
                <w:i w:val="0"/>
                <w:color w:val="656665"/>
                <w:sz w:val="14"/>
              </w:rPr>
              <w:t>% riscosso su accertato per entrate Titolo III (sanzioni CdS, permessi a costruire, canoni)</w:t>
            </w:r>
          </w:p>
        </w:tc>
        <w:tc>
          <w:tcPr>
            <w:tcW w:type="dxa" w:w="907"/>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656665"/>
                <w:sz w:val="15"/>
              </w:rPr>
              <w:t>BDAP Rendiconto</w:t>
            </w:r>
          </w:p>
        </w:tc>
        <w:tc>
          <w:tcPr>
            <w:tcW w:type="dxa" w:w="119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333333"/>
                <w:sz w:val="16"/>
              </w:rPr>
              <w:t>99,7</w:t>
            </w:r>
          </w:p>
          <w:p>
            <w:pPr>
              <w:spacing w:after="0"/>
              <w:jc w:val="right"/>
            </w:pPr>
            <w:r>
              <w:rPr>
                <w:rFonts w:ascii="Calibri" w:hAnsi="Calibri" w:eastAsia="Calibri" w:cs="Calibri"/>
                <w:b w:val="0"/>
                <w:i w:val="0"/>
                <w:color w:val="656665"/>
                <w:sz w:val="14"/>
              </w:rPr>
              <w:t>%</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6"/>
              </w:rPr>
              <w:t>73,1</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656665"/>
                <w:sz w:val="16"/>
              </w:rPr>
              <w:t>49,3</w:t>
            </w:r>
          </w:p>
        </w:tc>
        <w:tc>
          <w:tcPr>
            <w:tcW w:type="dxa" w:w="1020"/>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333333"/>
                <w:sz w:val="16"/>
              </w:rPr>
              <w:t>BASSO</w:t>
            </w:r>
          </w:p>
        </w:tc>
        <w:tc>
          <w:tcPr>
            <w:tcW w:type="dxa" w:w="1304"/>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ok</w:t>
            </w:r>
          </w:p>
        </w:tc>
      </w:tr>
      <w:tr>
        <w:trPr>
          <w:cantSplit/>
        </w:trPr>
        <w:tc>
          <w:tcPr>
            <w:tcW w:type="dxa" w:w="2948"/>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6"/>
              </w:rPr>
              <w:t>Incidenza Beni e Servizi</w:t>
            </w:r>
          </w:p>
          <w:p>
            <w:pPr>
              <w:spacing w:after="0"/>
              <w:jc w:val="left"/>
            </w:pPr>
            <w:r>
              <w:rPr>
                <w:rFonts w:ascii="Calibri" w:hAnsi="Calibri" w:eastAsia="Calibri" w:cs="Calibri"/>
                <w:b w:val="0"/>
                <w:i w:val="0"/>
                <w:color w:val="656665"/>
                <w:sz w:val="14"/>
              </w:rPr>
              <w:t>% spesa per beni e servizi su totale uscite</w:t>
            </w:r>
          </w:p>
        </w:tc>
        <w:tc>
          <w:tcPr>
            <w:tcW w:type="dxa" w:w="907"/>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656665"/>
                <w:sz w:val="15"/>
              </w:rPr>
              <w:t>SIOPE</w:t>
            </w:r>
          </w:p>
        </w:tc>
        <w:tc>
          <w:tcPr>
            <w:tcW w:type="dxa" w:w="119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333333"/>
                <w:sz w:val="16"/>
              </w:rPr>
              <w:t>17,2</w:t>
            </w:r>
          </w:p>
          <w:p>
            <w:pPr>
              <w:spacing w:after="0"/>
              <w:jc w:val="right"/>
            </w:pPr>
            <w:r>
              <w:rPr>
                <w:rFonts w:ascii="Calibri" w:hAnsi="Calibri" w:eastAsia="Calibri" w:cs="Calibri"/>
                <w:b w:val="0"/>
                <w:i w:val="0"/>
                <w:color w:val="656665"/>
                <w:sz w:val="14"/>
              </w:rPr>
              <w:t>%</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6"/>
              </w:rPr>
              <w:t>23,2</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656665"/>
                <w:sz w:val="16"/>
              </w:rPr>
              <w:t>18,4</w:t>
            </w:r>
          </w:p>
        </w:tc>
        <w:tc>
          <w:tcPr>
            <w:tcW w:type="dxa" w:w="1020"/>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333333"/>
                <w:sz w:val="16"/>
              </w:rPr>
              <w:t>BASSO</w:t>
            </w:r>
          </w:p>
        </w:tc>
        <w:tc>
          <w:tcPr>
            <w:tcW w:type="dxa" w:w="1304"/>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ok</w:t>
            </w:r>
          </w:p>
        </w:tc>
      </w:tr>
      <w:tr>
        <w:trPr>
          <w:cantSplit/>
        </w:trPr>
        <w:tc>
          <w:tcPr>
            <w:tcW w:type="dxa" w:w="2948"/>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6"/>
              </w:rPr>
              <w:t>Incidenza Spesa Personale</w:t>
            </w:r>
          </w:p>
          <w:p>
            <w:pPr>
              <w:spacing w:after="0"/>
              <w:jc w:val="left"/>
            </w:pPr>
            <w:r>
              <w:rPr>
                <w:rFonts w:ascii="Calibri" w:hAnsi="Calibri" w:eastAsia="Calibri" w:cs="Calibri"/>
                <w:b w:val="0"/>
                <w:i w:val="0"/>
                <w:color w:val="656665"/>
                <w:sz w:val="14"/>
              </w:rPr>
              <w:t>% spesa personale su totale uscite</w:t>
            </w:r>
          </w:p>
        </w:tc>
        <w:tc>
          <w:tcPr>
            <w:tcW w:type="dxa" w:w="907"/>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656665"/>
                <w:sz w:val="15"/>
              </w:rPr>
              <w:t>SIOPE</w:t>
            </w:r>
          </w:p>
        </w:tc>
        <w:tc>
          <w:tcPr>
            <w:tcW w:type="dxa" w:w="119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333333"/>
                <w:sz w:val="16"/>
              </w:rPr>
              <w:t>8,5</w:t>
            </w:r>
          </w:p>
          <w:p>
            <w:pPr>
              <w:spacing w:after="0"/>
              <w:jc w:val="right"/>
            </w:pPr>
            <w:r>
              <w:rPr>
                <w:rFonts w:ascii="Calibri" w:hAnsi="Calibri" w:eastAsia="Calibri" w:cs="Calibri"/>
                <w:b w:val="0"/>
                <w:i w:val="0"/>
                <w:color w:val="656665"/>
                <w:sz w:val="14"/>
              </w:rPr>
              <w:t>%</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6"/>
              </w:rPr>
              <w:t>12,8</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656665"/>
                <w:sz w:val="16"/>
              </w:rPr>
              <w:t>11,9</w:t>
            </w:r>
          </w:p>
        </w:tc>
        <w:tc>
          <w:tcPr>
            <w:tcW w:type="dxa" w:w="1020"/>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333333"/>
                <w:sz w:val="16"/>
              </w:rPr>
              <w:t>BASSO</w:t>
            </w:r>
          </w:p>
        </w:tc>
        <w:tc>
          <w:tcPr>
            <w:tcW w:type="dxa" w:w="1304"/>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ok</w:t>
            </w:r>
          </w:p>
        </w:tc>
      </w:tr>
      <w:tr>
        <w:trPr>
          <w:cantSplit/>
        </w:trPr>
        <w:tc>
          <w:tcPr>
            <w:tcW w:type="dxa" w:w="2948"/>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6"/>
              </w:rPr>
              <w:t>Trend Entrate (3 anni)</w:t>
            </w:r>
          </w:p>
          <w:p>
            <w:pPr>
              <w:spacing w:after="0"/>
              <w:jc w:val="left"/>
            </w:pPr>
            <w:r>
              <w:rPr>
                <w:rFonts w:ascii="Calibri" w:hAnsi="Calibri" w:eastAsia="Calibri" w:cs="Calibri"/>
                <w:b w:val="0"/>
                <w:i w:val="0"/>
                <w:color w:val="656665"/>
                <w:sz w:val="14"/>
              </w:rPr>
              <w:t>Variazione % entrate 2019 → 2021</w:t>
            </w:r>
          </w:p>
        </w:tc>
        <w:tc>
          <w:tcPr>
            <w:tcW w:type="dxa" w:w="907"/>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656665"/>
                <w:sz w:val="15"/>
              </w:rPr>
              <w:t>SIOPE</w:t>
            </w:r>
          </w:p>
        </w:tc>
        <w:tc>
          <w:tcPr>
            <w:tcW w:type="dxa" w:w="119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333333"/>
                <w:sz w:val="16"/>
              </w:rPr>
              <w:t>98,4</w:t>
            </w:r>
          </w:p>
          <w:p>
            <w:pPr>
              <w:spacing w:after="0"/>
              <w:jc w:val="right"/>
            </w:pPr>
            <w:r>
              <w:rPr>
                <w:rFonts w:ascii="Calibri" w:hAnsi="Calibri" w:eastAsia="Calibri" w:cs="Calibri"/>
                <w:b w:val="0"/>
                <w:i w:val="0"/>
                <w:color w:val="656665"/>
                <w:sz w:val="14"/>
              </w:rPr>
              <w:t>%</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6"/>
              </w:rPr>
              <w:t>-</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656665"/>
                <w:sz w:val="16"/>
              </w:rPr>
              <w:t>-</w:t>
            </w:r>
          </w:p>
        </w:tc>
        <w:tc>
          <w:tcPr>
            <w:tcW w:type="dxa" w:w="1020"/>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333333"/>
                <w:sz w:val="16"/>
              </w:rPr>
              <w:t>BASSO</w:t>
            </w:r>
          </w:p>
        </w:tc>
        <w:tc>
          <w:tcPr>
            <w:tcW w:type="dxa" w:w="1304"/>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ok</w:t>
            </w:r>
          </w:p>
        </w:tc>
      </w:tr>
      <w:tr>
        <w:trPr>
          <w:cantSplit/>
        </w:trPr>
        <w:tc>
          <w:tcPr>
            <w:tcW w:type="dxa" w:w="2948"/>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6"/>
              </w:rPr>
              <w:t>Dipendenti per 1000 abitanti</w:t>
            </w:r>
          </w:p>
          <w:p>
            <w:pPr>
              <w:spacing w:after="0"/>
              <w:jc w:val="left"/>
            </w:pPr>
            <w:r>
              <w:rPr>
                <w:rFonts w:ascii="Calibri" w:hAnsi="Calibri" w:eastAsia="Calibri" w:cs="Calibri"/>
                <w:b w:val="0"/>
                <w:i w:val="0"/>
                <w:color w:val="656665"/>
                <w:sz w:val="14"/>
              </w:rPr>
              <w:t>Numero dipendenti comunali ogni 1000 residenti</w:t>
            </w:r>
          </w:p>
        </w:tc>
        <w:tc>
          <w:tcPr>
            <w:tcW w:type="dxa" w:w="907"/>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656665"/>
                <w:sz w:val="15"/>
              </w:rPr>
              <w:t>Conto Annuale RGS</w:t>
            </w:r>
          </w:p>
        </w:tc>
        <w:tc>
          <w:tcPr>
            <w:tcW w:type="dxa" w:w="119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333333"/>
                <w:sz w:val="16"/>
              </w:rPr>
              <w:t>5,6</w:t>
            </w:r>
          </w:p>
          <w:p>
            <w:pPr>
              <w:spacing w:after="0"/>
              <w:jc w:val="right"/>
            </w:pPr>
            <w:r>
              <w:rPr>
                <w:rFonts w:ascii="Calibri" w:hAnsi="Calibri" w:eastAsia="Calibri" w:cs="Calibri"/>
                <w:b w:val="0"/>
                <w:i w:val="0"/>
                <w:color w:val="656665"/>
                <w:sz w:val="14"/>
              </w:rPr>
              <w:t>dip/1000ab</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6"/>
              </w:rPr>
              <w:t>7,3</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656665"/>
                <w:sz w:val="16"/>
              </w:rPr>
              <w:t>0,0</w:t>
            </w:r>
          </w:p>
        </w:tc>
        <w:tc>
          <w:tcPr>
            <w:tcW w:type="dxa" w:w="1020"/>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333333"/>
                <w:sz w:val="16"/>
              </w:rPr>
              <w:t>BASSO</w:t>
            </w:r>
          </w:p>
        </w:tc>
        <w:tc>
          <w:tcPr>
            <w:tcW w:type="dxa" w:w="1304"/>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ok</w:t>
            </w:r>
          </w:p>
        </w:tc>
      </w:tr>
      <w:tr>
        <w:trPr>
          <w:cantSplit/>
        </w:trPr>
        <w:tc>
          <w:tcPr>
            <w:tcW w:type="dxa" w:w="2948"/>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6"/>
              </w:rPr>
              <w:t>Raccolta Differenziata</w:t>
            </w:r>
          </w:p>
          <w:p>
            <w:pPr>
              <w:spacing w:after="0"/>
              <w:jc w:val="left"/>
            </w:pPr>
            <w:r>
              <w:rPr>
                <w:rFonts w:ascii="Calibri" w:hAnsi="Calibri" w:eastAsia="Calibri" w:cs="Calibri"/>
                <w:b w:val="0"/>
                <w:i w:val="0"/>
                <w:color w:val="656665"/>
                <w:sz w:val="14"/>
              </w:rPr>
              <w:t>% rifiuti raccolti in modo differenziato</w:t>
            </w:r>
          </w:p>
        </w:tc>
        <w:tc>
          <w:tcPr>
            <w:tcW w:type="dxa" w:w="907"/>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656665"/>
                <w:sz w:val="15"/>
              </w:rPr>
              <w:t>ISPRA</w:t>
            </w:r>
          </w:p>
        </w:tc>
        <w:tc>
          <w:tcPr>
            <w:tcW w:type="dxa" w:w="119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333333"/>
                <w:sz w:val="16"/>
              </w:rPr>
              <w:t>76,9</w:t>
            </w:r>
          </w:p>
          <w:p>
            <w:pPr>
              <w:spacing w:after="0"/>
              <w:jc w:val="right"/>
            </w:pPr>
            <w:r>
              <w:rPr>
                <w:rFonts w:ascii="Calibri" w:hAnsi="Calibri" w:eastAsia="Calibri" w:cs="Calibri"/>
                <w:b w:val="0"/>
                <w:i w:val="0"/>
                <w:color w:val="656665"/>
                <w:sz w:val="14"/>
              </w:rPr>
              <w:t>%</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6"/>
              </w:rPr>
              <w:t>67,5</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656665"/>
                <w:sz w:val="16"/>
              </w:rPr>
              <w:t>-</w:t>
            </w:r>
          </w:p>
        </w:tc>
        <w:tc>
          <w:tcPr>
            <w:tcW w:type="dxa" w:w="1020"/>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333333"/>
                <w:sz w:val="16"/>
              </w:rPr>
              <w:t>BASSO</w:t>
            </w:r>
          </w:p>
        </w:tc>
        <w:tc>
          <w:tcPr>
            <w:tcW w:type="dxa" w:w="1304"/>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ok</w:t>
            </w:r>
          </w:p>
        </w:tc>
      </w:tr>
      <w:tr>
        <w:trPr>
          <w:cantSplit/>
        </w:trPr>
        <w:tc>
          <w:tcPr>
            <w:tcW w:type="dxa" w:w="2948"/>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6"/>
              </w:rPr>
              <w:t>FCDE Copertura Tributi</w:t>
            </w:r>
          </w:p>
          <w:p>
            <w:pPr>
              <w:spacing w:after="0"/>
              <w:jc w:val="left"/>
            </w:pPr>
            <w:r>
              <w:rPr>
                <w:rFonts w:ascii="Calibri" w:hAnsi="Calibri" w:eastAsia="Calibri" w:cs="Calibri"/>
                <w:b w:val="0"/>
                <w:i w:val="0"/>
                <w:color w:val="656665"/>
                <w:sz w:val="14"/>
              </w:rPr>
              <w:t>% fondo accantonato FCDE su vecchi crediti tributari (Allegato c)</w:t>
            </w:r>
          </w:p>
        </w:tc>
        <w:tc>
          <w:tcPr>
            <w:tcW w:type="dxa" w:w="907"/>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656665"/>
                <w:sz w:val="15"/>
              </w:rPr>
              <w:t>BDAP Allegato c)</w:t>
            </w:r>
          </w:p>
        </w:tc>
        <w:tc>
          <w:tcPr>
            <w:tcW w:type="dxa" w:w="119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333333"/>
                <w:sz w:val="16"/>
              </w:rPr>
              <w:t>47,2</w:t>
            </w:r>
          </w:p>
          <w:p>
            <w:pPr>
              <w:spacing w:after="0"/>
              <w:jc w:val="right"/>
            </w:pPr>
            <w:r>
              <w:rPr>
                <w:rFonts w:ascii="Calibri" w:hAnsi="Calibri" w:eastAsia="Calibri" w:cs="Calibri"/>
                <w:b w:val="0"/>
                <w:i w:val="0"/>
                <w:color w:val="656665"/>
                <w:sz w:val="14"/>
              </w:rPr>
              <w:t>%</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6"/>
              </w:rPr>
              <w:t>47,0</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656665"/>
                <w:sz w:val="16"/>
              </w:rPr>
              <w:t>0,0</w:t>
            </w:r>
          </w:p>
        </w:tc>
        <w:tc>
          <w:tcPr>
            <w:tcW w:type="dxa" w:w="1020"/>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333333"/>
                <w:sz w:val="16"/>
              </w:rPr>
              <w:t>BASSO</w:t>
            </w:r>
          </w:p>
        </w:tc>
        <w:tc>
          <w:tcPr>
            <w:tcW w:type="dxa" w:w="1304"/>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ok</w:t>
            </w:r>
          </w:p>
        </w:tc>
      </w:tr>
      <w:tr>
        <w:trPr>
          <w:cantSplit/>
        </w:trPr>
        <w:tc>
          <w:tcPr>
            <w:tcW w:type="dxa" w:w="2948"/>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6"/>
              </w:rPr>
              <w:t>FCDE Copertura Globale</w:t>
            </w:r>
          </w:p>
          <w:p>
            <w:pPr>
              <w:spacing w:after="0"/>
              <w:jc w:val="left"/>
            </w:pPr>
            <w:r>
              <w:rPr>
                <w:rFonts w:ascii="Calibri" w:hAnsi="Calibri" w:eastAsia="Calibri" w:cs="Calibri"/>
                <w:b w:val="0"/>
                <w:i w:val="0"/>
                <w:color w:val="656665"/>
                <w:sz w:val="14"/>
              </w:rPr>
              <w:t>% fondo FCDE su vecchi crediti a rischio insoluto (tributi + extratributarie)</w:t>
            </w:r>
          </w:p>
        </w:tc>
        <w:tc>
          <w:tcPr>
            <w:tcW w:type="dxa" w:w="907"/>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656665"/>
                <w:sz w:val="15"/>
              </w:rPr>
              <w:t>BDAP Allegato c)</w:t>
            </w:r>
          </w:p>
        </w:tc>
        <w:tc>
          <w:tcPr>
            <w:tcW w:type="dxa" w:w="119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333333"/>
                <w:sz w:val="16"/>
              </w:rPr>
              <w:t>24,6</w:t>
            </w:r>
          </w:p>
          <w:p>
            <w:pPr>
              <w:spacing w:after="0"/>
              <w:jc w:val="right"/>
            </w:pPr>
            <w:r>
              <w:rPr>
                <w:rFonts w:ascii="Calibri" w:hAnsi="Calibri" w:eastAsia="Calibri" w:cs="Calibri"/>
                <w:b w:val="0"/>
                <w:i w:val="0"/>
                <w:color w:val="656665"/>
                <w:sz w:val="14"/>
              </w:rPr>
              <w:t>%</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6"/>
              </w:rPr>
              <w:t>34,3</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656665"/>
                <w:sz w:val="16"/>
              </w:rPr>
              <w:t>0,0</w:t>
            </w:r>
          </w:p>
        </w:tc>
        <w:tc>
          <w:tcPr>
            <w:tcW w:type="dxa" w:w="1020"/>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333333"/>
                <w:sz w:val="16"/>
              </w:rPr>
              <w:t>ALTO</w:t>
            </w:r>
          </w:p>
        </w:tc>
        <w:tc>
          <w:tcPr>
            <w:tcW w:type="dxa" w:w="1304"/>
            <w:tcBorders>
              <w:top w:val="nil"/>
              <w:left w:val="nil"/>
              <w:bottom w:val="single" w:sz="4" w:color="E5E1D5"/>
              <w:right w:val="nil"/>
            </w:tcBorders>
            <w:shd w:val="clear" w:color="auto" w:fill="F6E3E1"/>
            <w:tcMar>
              <w:top w:w="50" w:type="dxa"/>
              <w:left w:w="80" w:type="dxa"/>
              <w:bottom w:w="50" w:type="dxa"/>
              <w:right w:w="80" w:type="dxa"/>
            </w:tcMar>
          </w:tcPr>
          <w:p>
            <w:pPr>
              <w:spacing w:after="0"/>
              <w:jc w:val="center"/>
            </w:pPr>
            <w:r>
              <w:rPr>
                <w:rFonts w:ascii="Calibri" w:hAnsi="Calibri" w:eastAsia="Calibri" w:cs="Calibri"/>
                <w:b/>
                <w:i w:val="0"/>
                <w:color w:val="C4453F"/>
                <w:sz w:val="16"/>
              </w:rPr>
              <w:t>criticità</w:t>
            </w:r>
          </w:p>
        </w:tc>
      </w:tr>
      <w:tr>
        <w:trPr>
          <w:cantSplit/>
        </w:trPr>
        <w:tc>
          <w:tcPr>
            <w:tcW w:type="dxa" w:w="2948"/>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6"/>
              </w:rPr>
              <w:t>Margine Corrente</w:t>
            </w:r>
          </w:p>
          <w:p>
            <w:pPr>
              <w:spacing w:after="0"/>
              <w:jc w:val="left"/>
            </w:pPr>
            <w:r>
              <w:rPr>
                <w:rFonts w:ascii="Calibri" w:hAnsi="Calibri" w:eastAsia="Calibri" w:cs="Calibri"/>
                <w:b w:val="0"/>
                <w:i w:val="0"/>
                <w:color w:val="656665"/>
                <w:sz w:val="14"/>
              </w:rPr>
              <w:t>% margine tra entrate correnti e spese correnti (rendiconto)</w:t>
            </w:r>
          </w:p>
        </w:tc>
        <w:tc>
          <w:tcPr>
            <w:tcW w:type="dxa" w:w="907"/>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656665"/>
                <w:sz w:val="15"/>
              </w:rPr>
              <w:t>BDAP Rendiconto</w:t>
            </w:r>
          </w:p>
        </w:tc>
        <w:tc>
          <w:tcPr>
            <w:tcW w:type="dxa" w:w="119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333333"/>
                <w:sz w:val="16"/>
              </w:rPr>
              <w:t>13,1</w:t>
            </w:r>
          </w:p>
          <w:p>
            <w:pPr>
              <w:spacing w:after="0"/>
              <w:jc w:val="right"/>
            </w:pPr>
            <w:r>
              <w:rPr>
                <w:rFonts w:ascii="Calibri" w:hAnsi="Calibri" w:eastAsia="Calibri" w:cs="Calibri"/>
                <w:b w:val="0"/>
                <w:i w:val="0"/>
                <w:color w:val="656665"/>
                <w:sz w:val="14"/>
              </w:rPr>
              <w:t>%</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6"/>
              </w:rPr>
              <w:t>12,9</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656665"/>
                <w:sz w:val="16"/>
              </w:rPr>
              <w:t>0,0</w:t>
            </w:r>
          </w:p>
        </w:tc>
        <w:tc>
          <w:tcPr>
            <w:tcW w:type="dxa" w:w="1020"/>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333333"/>
                <w:sz w:val="16"/>
              </w:rPr>
              <w:t>BASSO</w:t>
            </w:r>
          </w:p>
        </w:tc>
        <w:tc>
          <w:tcPr>
            <w:tcW w:type="dxa" w:w="1304"/>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ok</w:t>
            </w:r>
          </w:p>
        </w:tc>
      </w:tr>
      <w:tr>
        <w:trPr>
          <w:cantSplit/>
        </w:trPr>
        <w:tc>
          <w:tcPr>
            <w:tcW w:type="dxa" w:w="2948"/>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6"/>
              </w:rPr>
              <w:t>Capacità di Pagamento</w:t>
            </w:r>
          </w:p>
          <w:p>
            <w:pPr>
              <w:spacing w:after="0"/>
              <w:jc w:val="left"/>
            </w:pPr>
            <w:r>
              <w:rPr>
                <w:rFonts w:ascii="Calibri" w:hAnsi="Calibri" w:eastAsia="Calibri" w:cs="Calibri"/>
                <w:b w:val="0"/>
                <w:i w:val="0"/>
                <w:color w:val="656665"/>
                <w:sz w:val="14"/>
              </w:rPr>
              <w:t>% pagato (CC+CR) su impegnato per spesa corrente</w:t>
            </w:r>
          </w:p>
        </w:tc>
        <w:tc>
          <w:tcPr>
            <w:tcW w:type="dxa" w:w="907"/>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656665"/>
                <w:sz w:val="15"/>
              </w:rPr>
              <w:t>BDAP Rendiconto</w:t>
            </w:r>
          </w:p>
        </w:tc>
        <w:tc>
          <w:tcPr>
            <w:tcW w:type="dxa" w:w="119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333333"/>
                <w:sz w:val="16"/>
              </w:rPr>
              <w:t>98,2</w:t>
            </w:r>
          </w:p>
          <w:p>
            <w:pPr>
              <w:spacing w:after="0"/>
              <w:jc w:val="right"/>
            </w:pPr>
            <w:r>
              <w:rPr>
                <w:rFonts w:ascii="Calibri" w:hAnsi="Calibri" w:eastAsia="Calibri" w:cs="Calibri"/>
                <w:b w:val="0"/>
                <w:i w:val="0"/>
                <w:color w:val="656665"/>
                <w:sz w:val="14"/>
              </w:rPr>
              <w:t>%</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6"/>
              </w:rPr>
              <w:t>78,1</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656665"/>
                <w:sz w:val="16"/>
              </w:rPr>
              <w:t>0,0</w:t>
            </w:r>
          </w:p>
        </w:tc>
        <w:tc>
          <w:tcPr>
            <w:tcW w:type="dxa" w:w="1020"/>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333333"/>
                <w:sz w:val="16"/>
              </w:rPr>
              <w:t>BASSO</w:t>
            </w:r>
          </w:p>
        </w:tc>
        <w:tc>
          <w:tcPr>
            <w:tcW w:type="dxa" w:w="1304"/>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ok</w:t>
            </w:r>
          </w:p>
        </w:tc>
      </w:tr>
      <w:tr>
        <w:trPr>
          <w:cantSplit/>
        </w:trPr>
        <w:tc>
          <w:tcPr>
            <w:tcW w:type="dxa" w:w="2948"/>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6"/>
              </w:rPr>
              <w:t>Residuo IMU/ICI/TASI non riscosso</w:t>
            </w:r>
          </w:p>
          <w:p>
            <w:pPr>
              <w:spacing w:after="0"/>
              <w:jc w:val="left"/>
            </w:pPr>
            <w:r>
              <w:rPr>
                <w:rFonts w:ascii="Calibri" w:hAnsi="Calibri" w:eastAsia="Calibri" w:cs="Calibri"/>
                <w:b w:val="0"/>
                <w:i w:val="0"/>
                <w:color w:val="656665"/>
                <w:sz w:val="14"/>
              </w:rPr>
              <w:t>% dell'esercizio non riscossa in competenza per IMU, ICI e TASI (Allegato d, cat. 06+08+76)</w:t>
            </w:r>
          </w:p>
        </w:tc>
        <w:tc>
          <w:tcPr>
            <w:tcW w:type="dxa" w:w="907"/>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656665"/>
                <w:sz w:val="15"/>
              </w:rPr>
              <w:t>BDAP Allegato d)</w:t>
            </w:r>
          </w:p>
        </w:tc>
        <w:tc>
          <w:tcPr>
            <w:tcW w:type="dxa" w:w="119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333333"/>
                <w:sz w:val="16"/>
              </w:rPr>
              <w:t>1,0</w:t>
            </w:r>
          </w:p>
          <w:p>
            <w:pPr>
              <w:spacing w:after="0"/>
              <w:jc w:val="right"/>
            </w:pPr>
            <w:r>
              <w:rPr>
                <w:rFonts w:ascii="Calibri" w:hAnsi="Calibri" w:eastAsia="Calibri" w:cs="Calibri"/>
                <w:b w:val="0"/>
                <w:i w:val="0"/>
                <w:color w:val="656665"/>
                <w:sz w:val="14"/>
              </w:rPr>
              <w:t>%</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6"/>
              </w:rPr>
              <w:t>-</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656665"/>
                <w:sz w:val="16"/>
              </w:rPr>
              <w:t>-</w:t>
            </w:r>
          </w:p>
        </w:tc>
        <w:tc>
          <w:tcPr>
            <w:tcW w:type="dxa" w:w="1020"/>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333333"/>
                <w:sz w:val="16"/>
              </w:rPr>
              <w:t>BASSO</w:t>
            </w:r>
          </w:p>
        </w:tc>
        <w:tc>
          <w:tcPr>
            <w:tcW w:type="dxa" w:w="1304"/>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ok</w:t>
            </w:r>
          </w:p>
        </w:tc>
      </w:tr>
      <w:tr>
        <w:trPr>
          <w:cantSplit/>
        </w:trPr>
        <w:tc>
          <w:tcPr>
            <w:tcW w:type="dxa" w:w="2948"/>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6"/>
              </w:rPr>
              <w:t>Risultato Amministrazione pro-capite</w:t>
            </w:r>
          </w:p>
          <w:p>
            <w:pPr>
              <w:spacing w:after="0"/>
              <w:jc w:val="left"/>
            </w:pPr>
            <w:r>
              <w:rPr>
                <w:rFonts w:ascii="Calibri" w:hAnsi="Calibri" w:eastAsia="Calibri" w:cs="Calibri"/>
                <w:b w:val="0"/>
                <w:i w:val="0"/>
                <w:color w:val="656665"/>
                <w:sz w:val="14"/>
              </w:rPr>
              <w:t>Avanzo/Disavanzo di amministrazione per abitante (Allegato a)</w:t>
            </w:r>
          </w:p>
        </w:tc>
        <w:tc>
          <w:tcPr>
            <w:tcW w:type="dxa" w:w="907"/>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656665"/>
                <w:sz w:val="15"/>
              </w:rPr>
              <w:t>BDAP Allegato a)</w:t>
            </w:r>
          </w:p>
        </w:tc>
        <w:tc>
          <w:tcPr>
            <w:tcW w:type="dxa" w:w="119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333333"/>
                <w:sz w:val="16"/>
              </w:rPr>
              <w:t>1.024,0</w:t>
            </w:r>
          </w:p>
          <w:p>
            <w:pPr>
              <w:spacing w:after="0"/>
              <w:jc w:val="right"/>
            </w:pPr>
            <w:r>
              <w:rPr>
                <w:rFonts w:ascii="Calibri" w:hAnsi="Calibri" w:eastAsia="Calibri" w:cs="Calibri"/>
                <w:b w:val="0"/>
                <w:i w:val="0"/>
                <w:color w:val="656665"/>
                <w:sz w:val="14"/>
              </w:rPr>
              <w:t>€/ab</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6"/>
              </w:rPr>
              <w:t>-</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656665"/>
                <w:sz w:val="16"/>
              </w:rPr>
              <w:t>-</w:t>
            </w:r>
          </w:p>
        </w:tc>
        <w:tc>
          <w:tcPr>
            <w:tcW w:type="dxa" w:w="1020"/>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333333"/>
                <w:sz w:val="16"/>
              </w:rPr>
              <w:t>BASSO</w:t>
            </w:r>
          </w:p>
        </w:tc>
        <w:tc>
          <w:tcPr>
            <w:tcW w:type="dxa" w:w="1304"/>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ok</w:t>
            </w:r>
          </w:p>
        </w:tc>
      </w:tr>
      <w:tr>
        <w:trPr>
          <w:cantSplit/>
        </w:trPr>
        <w:tc>
          <w:tcPr>
            <w:tcW w:type="dxa" w:w="2948"/>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6"/>
              </w:rPr>
              <w:t>Partecipate in perdita</w:t>
            </w:r>
          </w:p>
          <w:p>
            <w:pPr>
              <w:spacing w:after="0"/>
              <w:jc w:val="left"/>
            </w:pPr>
            <w:r>
              <w:rPr>
                <w:rFonts w:ascii="Calibri" w:hAnsi="Calibri" w:eastAsia="Calibri" w:cs="Calibri"/>
                <w:b w:val="0"/>
                <w:i w:val="0"/>
                <w:color w:val="656665"/>
                <w:sz w:val="14"/>
              </w:rPr>
              <w:t>1 su 2 organismi partecipati presentano risultato d'esercizio negativo (censimento MEF 2021).</w:t>
            </w:r>
          </w:p>
        </w:tc>
        <w:tc>
          <w:tcPr>
            <w:tcW w:type="dxa" w:w="907"/>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656665"/>
                <w:sz w:val="15"/>
              </w:rPr>
              <w:t>MEF - Partecipazioni PA, censimento 2021</w:t>
            </w:r>
          </w:p>
        </w:tc>
        <w:tc>
          <w:tcPr>
            <w:tcW w:type="dxa" w:w="119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333333"/>
                <w:sz w:val="16"/>
              </w:rPr>
              <w:t>50,0</w:t>
            </w:r>
          </w:p>
          <w:p>
            <w:pPr>
              <w:spacing w:after="0"/>
              <w:jc w:val="right"/>
            </w:pPr>
            <w:r>
              <w:rPr>
                <w:rFonts w:ascii="Calibri" w:hAnsi="Calibri" w:eastAsia="Calibri" w:cs="Calibri"/>
                <w:b w:val="0"/>
                <w:i w:val="0"/>
                <w:color w:val="656665"/>
                <w:sz w:val="14"/>
              </w:rPr>
              <w:t>%</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6"/>
              </w:rPr>
              <w:t>-</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656665"/>
                <w:sz w:val="16"/>
              </w:rPr>
              <w:t>-</w:t>
            </w:r>
          </w:p>
        </w:tc>
        <w:tc>
          <w:tcPr>
            <w:tcW w:type="dxa" w:w="1020"/>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333333"/>
                <w:sz w:val="16"/>
              </w:rPr>
              <w:t>MEDIO</w:t>
            </w:r>
          </w:p>
        </w:tc>
        <w:tc>
          <w:tcPr>
            <w:tcW w:type="dxa" w:w="1304"/>
            <w:tcBorders>
              <w:top w:val="nil"/>
              <w:left w:val="nil"/>
              <w:bottom w:val="single" w:sz="4" w:color="E5E1D5"/>
              <w:right w:val="nil"/>
            </w:tcBorders>
            <w:shd w:val="clear" w:color="auto" w:fill="FBEBD6"/>
            <w:tcMar>
              <w:top w:w="50" w:type="dxa"/>
              <w:left w:w="80" w:type="dxa"/>
              <w:bottom w:w="50" w:type="dxa"/>
              <w:right w:w="80" w:type="dxa"/>
            </w:tcMar>
          </w:tcPr>
          <w:p>
            <w:pPr>
              <w:spacing w:after="0"/>
              <w:jc w:val="center"/>
            </w:pPr>
            <w:r>
              <w:rPr>
                <w:rFonts w:ascii="Calibri" w:hAnsi="Calibri" w:eastAsia="Calibri" w:cs="Calibri"/>
                <w:b/>
                <w:i w:val="0"/>
                <w:color w:val="D98A2B"/>
                <w:sz w:val="16"/>
              </w:rPr>
              <w:t>attenzione</w:t>
            </w:r>
          </w:p>
        </w:tc>
      </w:tr>
      <w:tr>
        <w:trPr>
          <w:cantSplit/>
        </w:trPr>
        <w:tc>
          <w:tcPr>
            <w:tcW w:type="dxa" w:w="2948"/>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6"/>
              </w:rPr>
              <w:t>Disavanzo / Entrate correnti</w:t>
            </w:r>
          </w:p>
          <w:p>
            <w:pPr>
              <w:spacing w:after="0"/>
              <w:jc w:val="left"/>
            </w:pPr>
            <w:r>
              <w:rPr>
                <w:rFonts w:ascii="Calibri" w:hAnsi="Calibri" w:eastAsia="Calibri" w:cs="Calibri"/>
                <w:b w:val="0"/>
                <w:i w:val="0"/>
                <w:color w:val="656665"/>
                <w:sz w:val="14"/>
              </w:rPr>
              <w:t>Il comune non presenta disavanzo di amministrazione.</w:t>
            </w:r>
          </w:p>
        </w:tc>
        <w:tc>
          <w:tcPr>
            <w:tcW w:type="dxa" w:w="907"/>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656665"/>
                <w:sz w:val="15"/>
              </w:rPr>
              <w:t>BDAP Allegato a)</w:t>
            </w:r>
          </w:p>
        </w:tc>
        <w:tc>
          <w:tcPr>
            <w:tcW w:type="dxa" w:w="119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333333"/>
                <w:sz w:val="16"/>
              </w:rPr>
              <w:t>0,0</w:t>
            </w:r>
          </w:p>
          <w:p>
            <w:pPr>
              <w:spacing w:after="0"/>
              <w:jc w:val="right"/>
            </w:pPr>
            <w:r>
              <w:rPr>
                <w:rFonts w:ascii="Calibri" w:hAnsi="Calibri" w:eastAsia="Calibri" w:cs="Calibri"/>
                <w:b w:val="0"/>
                <w:i w:val="0"/>
                <w:color w:val="656665"/>
                <w:sz w:val="14"/>
              </w:rPr>
              <w:t>%</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6"/>
              </w:rPr>
              <w:t>-</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656665"/>
                <w:sz w:val="16"/>
              </w:rPr>
              <w:t>-</w:t>
            </w:r>
          </w:p>
        </w:tc>
        <w:tc>
          <w:tcPr>
            <w:tcW w:type="dxa" w:w="1020"/>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333333"/>
                <w:sz w:val="16"/>
              </w:rPr>
              <w:t>BASSO</w:t>
            </w:r>
          </w:p>
        </w:tc>
        <w:tc>
          <w:tcPr>
            <w:tcW w:type="dxa" w:w="1304"/>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ok</w:t>
            </w:r>
          </w:p>
        </w:tc>
      </w:tr>
    </w:tbl>
    <w:p>
      <w:pPr>
        <w:spacing w:after="120" w:before="0"/>
      </w:pPr>
    </w:p>
    <w:p>
      <w:pPr>
        <w:pStyle w:val="Heading1"/>
        <w:pageBreakBefore/>
        <w:pBdr>
          <w:bottom w:val="single" w:sz="8" w:space="4" w:color="C7951E"/>
        </w:pBdr>
      </w:pPr>
      <w:r>
        <w:rPr>
          <w:rFonts w:ascii="Calibri" w:hAnsi="Calibri" w:eastAsia="Calibri" w:cs="Calibri"/>
          <w:b/>
          <w:i w:val="0"/>
          <w:color w:val="C7951E"/>
          <w:sz w:val="30"/>
        </w:rPr>
        <w:t xml:space="preserve">6.  </w:t>
      </w:r>
      <w:r>
        <w:rPr>
          <w:rFonts w:ascii="Calibri" w:hAnsi="Calibri" w:eastAsia="Calibri" w:cs="Calibri"/>
          <w:b/>
          <w:i w:val="0"/>
          <w:color w:val="0F2246"/>
          <w:sz w:val="30"/>
        </w:rPr>
        <w:t>Sezione C, trend pluriennale e miglioramento annuale</w:t>
      </w:r>
    </w:p>
    <w:p>
      <w:pPr>
        <w:spacing w:after="160" w:before="0"/>
        <w:jc w:val="both"/>
      </w:pPr>
      <w:r>
        <w:rPr>
          <w:rFonts w:ascii="Calibri" w:hAnsi="Calibri" w:eastAsia="Calibri" w:cs="Calibri"/>
          <w:b w:val="0"/>
          <w:i/>
          <w:color w:val="656665"/>
          <w:sz w:val="19"/>
        </w:rPr>
        <w:t>La rappresentazione a piccoli multipli evidenzia la traiettoria pluriennale di ciascun indicatore chiave, fino all'ultimo esercizio chiuso. La banda verde rappresenta la mediana della fascia demografica omologa. Per ogni indicatore è indicato il delta percentuale rispetto all'esercizio precedente.</w:t>
      </w:r>
    </w:p>
    <w:p>
      <w:pPr>
        <w:spacing w:after="40" w:before="80"/>
        <w:jc w:val="center"/>
      </w:pPr>
      <w:r>
        <w:drawing>
          <wp:inline xmlns:a="http://schemas.openxmlformats.org/drawingml/2006/main" xmlns:pic="http://schemas.openxmlformats.org/drawingml/2006/picture">
            <wp:extent cx="6120000" cy="2768123"/>
            <wp:docPr id="10" name="Picture 10"/>
            <wp:cNvGraphicFramePr>
              <a:graphicFrameLocks noChangeAspect="1"/>
            </wp:cNvGraphicFramePr>
            <a:graphic>
              <a:graphicData uri="http://schemas.openxmlformats.org/drawingml/2006/picture">
                <pic:pic>
                  <pic:nvPicPr>
                    <pic:cNvPr id="0" name="image.png"/>
                    <pic:cNvPicPr/>
                  </pic:nvPicPr>
                  <pic:blipFill>
                    <a:blip r:embed="rId20"/>
                    <a:stretch>
                      <a:fillRect/>
                    </a:stretch>
                  </pic:blipFill>
                  <pic:spPr>
                    <a:xfrm>
                      <a:off x="0" y="0"/>
                      <a:ext cx="6120000" cy="2768123"/>
                    </a:xfrm>
                    <a:prstGeom prst="rect"/>
                  </pic:spPr>
                </pic:pic>
              </a:graphicData>
            </a:graphic>
          </wp:inline>
        </w:drawing>
      </w:r>
    </w:p>
    <w:p>
      <w:pPr>
        <w:spacing w:after="120" w:before="0"/>
      </w:pPr>
    </w:p>
    <w:p>
      <w:pPr>
        <w:pStyle w:val="Heading2"/>
      </w:pPr>
      <w:r>
        <w:rPr>
          <w:rFonts w:ascii="Calibri" w:hAnsi="Calibri" w:eastAsia="Calibri" w:cs="Calibri"/>
          <w:b/>
          <w:i w:val="0"/>
          <w:color w:val="1A396B"/>
          <w:sz w:val="24"/>
        </w:rPr>
        <w:t>6.1  Sintesi dei miglioramenti annuali</w:t>
      </w:r>
    </w:p>
    <w:tbl>
      <w:tblPr>
        <w:tblW w:type="dxa" w:w="9638"/>
        <w:jc w:val="center"/>
        <w:tblLayout w:type="fixed"/>
        <w:tblLook w:firstColumn="1" w:firstRow="1" w:lastColumn="0" w:lastRow="0" w:noHBand="0" w:noVBand="1" w:val="04A0"/>
      </w:tblPr>
      <w:tblGrid>
        <w:gridCol w:w="3175"/>
        <w:gridCol w:w="1304"/>
        <w:gridCol w:w="1247"/>
        <w:gridCol w:w="1247"/>
        <w:gridCol w:w="1191"/>
        <w:gridCol w:w="1474"/>
      </w:tblGrid>
      <w:tr>
        <w:trPr>
          <w:cantSplit/>
          <w:tblHeader/>
        </w:trPr>
        <w:tc>
          <w:tcPr>
            <w:tcW w:type="dxa" w:w="3175"/>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7"/>
              </w:rPr>
              <w:t>Indicatore</w:t>
            </w:r>
          </w:p>
        </w:tc>
        <w:tc>
          <w:tcPr>
            <w:tcW w:type="dxa" w:w="1304"/>
            <w:shd w:val="clear" w:color="auto" w:fill="0F2246"/>
            <w:tcMar>
              <w:top w:w="50" w:type="dxa"/>
              <w:left w:w="80" w:type="dxa"/>
              <w:bottom w:w="50" w:type="dxa"/>
              <w:right w:w="80" w:type="dxa"/>
            </w:tcMar>
          </w:tcPr>
          <w:p>
            <w:pPr>
              <w:spacing w:after="0"/>
              <w:jc w:val="center"/>
            </w:pPr>
            <w:r>
              <w:rPr>
                <w:rFonts w:ascii="Calibri" w:hAnsi="Calibri" w:eastAsia="Calibri" w:cs="Calibri"/>
                <w:b/>
                <w:i w:val="0"/>
                <w:color w:val="FFFFFF"/>
                <w:sz w:val="17"/>
              </w:rPr>
              <w:t>Esercizi</w:t>
            </w:r>
          </w:p>
        </w:tc>
        <w:tc>
          <w:tcPr>
            <w:tcW w:type="dxa" w:w="1247"/>
            <w:shd w:val="clear" w:color="auto" w:fill="0F2246"/>
            <w:tcMar>
              <w:top w:w="50" w:type="dxa"/>
              <w:left w:w="80" w:type="dxa"/>
              <w:bottom w:w="50" w:type="dxa"/>
              <w:right w:w="80" w:type="dxa"/>
            </w:tcMar>
          </w:tcPr>
          <w:p>
            <w:pPr>
              <w:spacing w:after="0"/>
              <w:jc w:val="right"/>
            </w:pPr>
            <w:r>
              <w:rPr>
                <w:rFonts w:ascii="Calibri" w:hAnsi="Calibri" w:eastAsia="Calibri" w:cs="Calibri"/>
                <w:b/>
                <w:i w:val="0"/>
                <w:color w:val="FFFFFF"/>
                <w:sz w:val="17"/>
              </w:rPr>
              <w:t>Precedente</w:t>
            </w:r>
          </w:p>
        </w:tc>
        <w:tc>
          <w:tcPr>
            <w:tcW w:type="dxa" w:w="1247"/>
            <w:shd w:val="clear" w:color="auto" w:fill="0F2246"/>
            <w:tcMar>
              <w:top w:w="50" w:type="dxa"/>
              <w:left w:w="80" w:type="dxa"/>
              <w:bottom w:w="50" w:type="dxa"/>
              <w:right w:w="80" w:type="dxa"/>
            </w:tcMar>
          </w:tcPr>
          <w:p>
            <w:pPr>
              <w:spacing w:after="0"/>
              <w:jc w:val="right"/>
            </w:pPr>
            <w:r>
              <w:rPr>
                <w:rFonts w:ascii="Calibri" w:hAnsi="Calibri" w:eastAsia="Calibri" w:cs="Calibri"/>
                <w:b/>
                <w:i w:val="0"/>
                <w:color w:val="FFFFFF"/>
                <w:sz w:val="17"/>
              </w:rPr>
              <w:t>Ultimo</w:t>
            </w:r>
          </w:p>
        </w:tc>
        <w:tc>
          <w:tcPr>
            <w:tcW w:type="dxa" w:w="1191"/>
            <w:shd w:val="clear" w:color="auto" w:fill="0F2246"/>
            <w:tcMar>
              <w:top w:w="50" w:type="dxa"/>
              <w:left w:w="80" w:type="dxa"/>
              <w:bottom w:w="50" w:type="dxa"/>
              <w:right w:w="80" w:type="dxa"/>
            </w:tcMar>
          </w:tcPr>
          <w:p>
            <w:pPr>
              <w:spacing w:after="0"/>
              <w:jc w:val="right"/>
            </w:pPr>
            <w:r>
              <w:rPr>
                <w:rFonts w:ascii="Calibri" w:hAnsi="Calibri" w:eastAsia="Calibri" w:cs="Calibri"/>
                <w:b/>
                <w:i w:val="0"/>
                <w:color w:val="FFFFFF"/>
                <w:sz w:val="17"/>
              </w:rPr>
              <w:t>Variazione</w:t>
            </w:r>
          </w:p>
        </w:tc>
        <w:tc>
          <w:tcPr>
            <w:tcW w:type="dxa" w:w="1474"/>
            <w:shd w:val="clear" w:color="auto" w:fill="0F2246"/>
            <w:tcMar>
              <w:top w:w="50" w:type="dxa"/>
              <w:left w:w="80" w:type="dxa"/>
              <w:bottom w:w="50" w:type="dxa"/>
              <w:right w:w="80" w:type="dxa"/>
            </w:tcMar>
          </w:tcPr>
          <w:p>
            <w:pPr>
              <w:spacing w:after="0"/>
              <w:jc w:val="center"/>
            </w:pPr>
            <w:r>
              <w:rPr>
                <w:rFonts w:ascii="Calibri" w:hAnsi="Calibri" w:eastAsia="Calibri" w:cs="Calibri"/>
                <w:b/>
                <w:i w:val="0"/>
                <w:color w:val="FFFFFF"/>
                <w:sz w:val="17"/>
              </w:rPr>
              <w:t>Direzione</w:t>
            </w:r>
          </w:p>
        </w:tc>
      </w:tr>
      <w:tr>
        <w:trPr>
          <w:cantSplit/>
        </w:trPr>
        <w:tc>
          <w:tcPr>
            <w:tcW w:type="dxa" w:w="317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Entrate pro-capite</w:t>
            </w:r>
          </w:p>
        </w:tc>
        <w:tc>
          <w:tcPr>
            <w:tcW w:type="dxa" w:w="1304"/>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333333"/>
                <w:sz w:val="17"/>
              </w:rPr>
              <w:t>2020 e 2021</w:t>
            </w:r>
          </w:p>
        </w:tc>
        <w:tc>
          <w:tcPr>
            <w:tcW w:type="dxa" w:w="1247"/>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2.596,0</w:t>
            </w:r>
          </w:p>
        </w:tc>
        <w:tc>
          <w:tcPr>
            <w:tcW w:type="dxa" w:w="1247"/>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333333"/>
                <w:sz w:val="17"/>
              </w:rPr>
              <w:t>2.784,0</w:t>
            </w:r>
          </w:p>
        </w:tc>
        <w:tc>
          <w:tcPr>
            <w:tcW w:type="dxa" w:w="119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2E7D52"/>
                <w:sz w:val="17"/>
              </w:rPr>
              <w:t>+7,2%</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i w:val="0"/>
                <w:color w:val="2E7D52"/>
                <w:sz w:val="16"/>
              </w:rPr>
              <w:t>In miglioramento</w:t>
            </w:r>
          </w:p>
        </w:tc>
      </w:tr>
      <w:tr>
        <w:trPr>
          <w:cantSplit/>
        </w:trPr>
        <w:tc>
          <w:tcPr>
            <w:tcW w:type="dxa" w:w="317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Uscite pro-capite</w:t>
            </w:r>
          </w:p>
        </w:tc>
        <w:tc>
          <w:tcPr>
            <w:tcW w:type="dxa" w:w="1304"/>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333333"/>
                <w:sz w:val="17"/>
              </w:rPr>
              <w:t>2020 e 2021</w:t>
            </w:r>
          </w:p>
        </w:tc>
        <w:tc>
          <w:tcPr>
            <w:tcW w:type="dxa" w:w="1247"/>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2.264,0</w:t>
            </w:r>
          </w:p>
        </w:tc>
        <w:tc>
          <w:tcPr>
            <w:tcW w:type="dxa" w:w="1247"/>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333333"/>
                <w:sz w:val="17"/>
              </w:rPr>
              <w:t>2.433,0</w:t>
            </w:r>
          </w:p>
        </w:tc>
        <w:tc>
          <w:tcPr>
            <w:tcW w:type="dxa" w:w="119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C4453F"/>
                <w:sz w:val="17"/>
              </w:rPr>
              <w:t>+7,5%</w:t>
            </w:r>
          </w:p>
        </w:tc>
        <w:tc>
          <w:tcPr>
            <w:tcW w:type="dxa" w:w="1474"/>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i w:val="0"/>
                <w:color w:val="C4453F"/>
                <w:sz w:val="16"/>
              </w:rPr>
              <w:t>In peggioramento</w:t>
            </w:r>
          </w:p>
        </w:tc>
      </w:tr>
      <w:tr>
        <w:trPr>
          <w:cantSplit/>
        </w:trPr>
        <w:tc>
          <w:tcPr>
            <w:tcW w:type="dxa" w:w="317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Autonomia finanziaria</w:t>
            </w:r>
          </w:p>
        </w:tc>
        <w:tc>
          <w:tcPr>
            <w:tcW w:type="dxa" w:w="1304"/>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333333"/>
                <w:sz w:val="17"/>
              </w:rPr>
              <w:t>2020 e 2021</w:t>
            </w:r>
          </w:p>
        </w:tc>
        <w:tc>
          <w:tcPr>
            <w:tcW w:type="dxa" w:w="1247"/>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26,4</w:t>
            </w:r>
          </w:p>
        </w:tc>
        <w:tc>
          <w:tcPr>
            <w:tcW w:type="dxa" w:w="1247"/>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333333"/>
                <w:sz w:val="17"/>
              </w:rPr>
              <w:t>25,3</w:t>
            </w:r>
          </w:p>
        </w:tc>
        <w:tc>
          <w:tcPr>
            <w:tcW w:type="dxa" w:w="119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C4453F"/>
                <w:sz w:val="17"/>
              </w:rPr>
              <w:t>-4,2%</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i w:val="0"/>
                <w:color w:val="C4453F"/>
                <w:sz w:val="16"/>
              </w:rPr>
              <w:t>In peggioramento</w:t>
            </w:r>
          </w:p>
        </w:tc>
      </w:tr>
      <w:tr>
        <w:trPr>
          <w:cantSplit/>
        </w:trPr>
        <w:tc>
          <w:tcPr>
            <w:tcW w:type="dxa" w:w="317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Rigidità strutturale</w:t>
            </w:r>
          </w:p>
        </w:tc>
        <w:tc>
          <w:tcPr>
            <w:tcW w:type="dxa" w:w="1304"/>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333333"/>
                <w:sz w:val="17"/>
              </w:rPr>
              <w:t>2020 e 2021</w:t>
            </w:r>
          </w:p>
        </w:tc>
        <w:tc>
          <w:tcPr>
            <w:tcW w:type="dxa" w:w="1247"/>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7,7</w:t>
            </w:r>
          </w:p>
        </w:tc>
        <w:tc>
          <w:tcPr>
            <w:tcW w:type="dxa" w:w="1247"/>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333333"/>
                <w:sz w:val="17"/>
              </w:rPr>
              <w:t>7,7</w:t>
            </w:r>
          </w:p>
        </w:tc>
        <w:tc>
          <w:tcPr>
            <w:tcW w:type="dxa" w:w="119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656665"/>
                <w:sz w:val="17"/>
              </w:rPr>
              <w:t>0,0%</w:t>
            </w:r>
          </w:p>
        </w:tc>
        <w:tc>
          <w:tcPr>
            <w:tcW w:type="dxa" w:w="1474"/>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i w:val="0"/>
                <w:color w:val="656665"/>
                <w:sz w:val="16"/>
              </w:rPr>
              <w:t>Stabile</w:t>
            </w:r>
          </w:p>
        </w:tc>
      </w:tr>
      <w:tr>
        <w:trPr>
          <w:cantSplit/>
        </w:trPr>
        <w:tc>
          <w:tcPr>
            <w:tcW w:type="dxa" w:w="317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Spesa personale / Entrate</w:t>
            </w:r>
          </w:p>
        </w:tc>
        <w:tc>
          <w:tcPr>
            <w:tcW w:type="dxa" w:w="1304"/>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333333"/>
                <w:sz w:val="17"/>
              </w:rPr>
              <w:t>2020 e 2021</w:t>
            </w:r>
          </w:p>
        </w:tc>
        <w:tc>
          <w:tcPr>
            <w:tcW w:type="dxa" w:w="1247"/>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7,3</w:t>
            </w:r>
          </w:p>
        </w:tc>
        <w:tc>
          <w:tcPr>
            <w:tcW w:type="dxa" w:w="1247"/>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333333"/>
                <w:sz w:val="17"/>
              </w:rPr>
              <w:t>7,4</w:t>
            </w:r>
          </w:p>
        </w:tc>
        <w:tc>
          <w:tcPr>
            <w:tcW w:type="dxa" w:w="119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656665"/>
                <w:sz w:val="17"/>
              </w:rPr>
              <w:t>+1,4%</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i w:val="0"/>
                <w:color w:val="656665"/>
                <w:sz w:val="16"/>
              </w:rPr>
              <w:t>Stabile</w:t>
            </w:r>
          </w:p>
        </w:tc>
      </w:tr>
      <w:tr>
        <w:trPr>
          <w:cantSplit/>
        </w:trPr>
        <w:tc>
          <w:tcPr>
            <w:tcW w:type="dxa" w:w="317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Riscossione Tit.1 (tributarie)</w:t>
            </w:r>
          </w:p>
        </w:tc>
        <w:tc>
          <w:tcPr>
            <w:tcW w:type="dxa" w:w="1304"/>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333333"/>
                <w:sz w:val="17"/>
              </w:rPr>
              <w:t>2020 e 2021</w:t>
            </w:r>
          </w:p>
        </w:tc>
        <w:tc>
          <w:tcPr>
            <w:tcW w:type="dxa" w:w="1247"/>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97,3</w:t>
            </w:r>
          </w:p>
        </w:tc>
        <w:tc>
          <w:tcPr>
            <w:tcW w:type="dxa" w:w="1247"/>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333333"/>
                <w:sz w:val="17"/>
              </w:rPr>
              <w:t>102,2</w:t>
            </w:r>
          </w:p>
        </w:tc>
        <w:tc>
          <w:tcPr>
            <w:tcW w:type="dxa" w:w="119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2E7D52"/>
                <w:sz w:val="17"/>
              </w:rPr>
              <w:t>+5,0%</w:t>
            </w:r>
          </w:p>
        </w:tc>
        <w:tc>
          <w:tcPr>
            <w:tcW w:type="dxa" w:w="1474"/>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i w:val="0"/>
                <w:color w:val="2E7D52"/>
                <w:sz w:val="16"/>
              </w:rPr>
              <w:t>In miglioramento</w:t>
            </w:r>
          </w:p>
        </w:tc>
      </w:tr>
      <w:tr>
        <w:trPr>
          <w:cantSplit/>
        </w:trPr>
        <w:tc>
          <w:tcPr>
            <w:tcW w:type="dxa" w:w="317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Riscossione Tit.3 (extratrib.)</w:t>
            </w:r>
          </w:p>
        </w:tc>
        <w:tc>
          <w:tcPr>
            <w:tcW w:type="dxa" w:w="1304"/>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333333"/>
                <w:sz w:val="17"/>
              </w:rPr>
              <w:t>2020 e 2021</w:t>
            </w:r>
          </w:p>
        </w:tc>
        <w:tc>
          <w:tcPr>
            <w:tcW w:type="dxa" w:w="1247"/>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62,1</w:t>
            </w:r>
          </w:p>
        </w:tc>
        <w:tc>
          <w:tcPr>
            <w:tcW w:type="dxa" w:w="1247"/>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333333"/>
                <w:sz w:val="17"/>
              </w:rPr>
              <w:t>99,7</w:t>
            </w:r>
          </w:p>
        </w:tc>
        <w:tc>
          <w:tcPr>
            <w:tcW w:type="dxa" w:w="119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2E7D52"/>
                <w:sz w:val="17"/>
              </w:rPr>
              <w:t>+60,5%</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i w:val="0"/>
                <w:color w:val="2E7D52"/>
                <w:sz w:val="16"/>
              </w:rPr>
              <w:t>In miglioramento</w:t>
            </w:r>
          </w:p>
        </w:tc>
      </w:tr>
      <w:tr>
        <w:trPr>
          <w:cantSplit/>
        </w:trPr>
        <w:tc>
          <w:tcPr>
            <w:tcW w:type="dxa" w:w="317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Pressione tributaria pro-capite</w:t>
            </w:r>
          </w:p>
        </w:tc>
        <w:tc>
          <w:tcPr>
            <w:tcW w:type="dxa" w:w="1304"/>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333333"/>
                <w:sz w:val="17"/>
              </w:rPr>
              <w:t>2020 e 2021</w:t>
            </w:r>
          </w:p>
        </w:tc>
        <w:tc>
          <w:tcPr>
            <w:tcW w:type="dxa" w:w="1247"/>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340,0</w:t>
            </w:r>
          </w:p>
        </w:tc>
        <w:tc>
          <w:tcPr>
            <w:tcW w:type="dxa" w:w="1247"/>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333333"/>
                <w:sz w:val="17"/>
              </w:rPr>
              <w:t>340,0</w:t>
            </w:r>
          </w:p>
        </w:tc>
        <w:tc>
          <w:tcPr>
            <w:tcW w:type="dxa" w:w="119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656665"/>
                <w:sz w:val="17"/>
              </w:rPr>
              <w:t>0,0%</w:t>
            </w:r>
          </w:p>
        </w:tc>
        <w:tc>
          <w:tcPr>
            <w:tcW w:type="dxa" w:w="1474"/>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i w:val="0"/>
                <w:color w:val="656665"/>
                <w:sz w:val="16"/>
              </w:rPr>
              <w:t>Stabile</w:t>
            </w:r>
          </w:p>
        </w:tc>
      </w:tr>
    </w:tbl>
    <w:p>
      <w:pPr>
        <w:spacing w:after="120" w:before="0"/>
      </w:pPr>
    </w:p>
    <w:p>
      <w:pPr>
        <w:pStyle w:val="Heading2"/>
      </w:pPr>
      <w:r>
        <w:rPr>
          <w:rFonts w:ascii="Calibri" w:hAnsi="Calibri" w:eastAsia="Calibri" w:cs="Calibri"/>
          <w:b/>
          <w:i w:val="0"/>
          <w:color w:val="1A396B"/>
          <w:sz w:val="24"/>
        </w:rPr>
        <w:t>6.2  Confronto con la fascia demografica omologa</w:t>
      </w:r>
    </w:p>
    <w:p>
      <w:pPr>
        <w:spacing w:after="40" w:before="80"/>
        <w:jc w:val="center"/>
      </w:pPr>
      <w:r>
        <w:drawing>
          <wp:inline xmlns:a="http://schemas.openxmlformats.org/drawingml/2006/main" xmlns:pic="http://schemas.openxmlformats.org/drawingml/2006/picture">
            <wp:extent cx="5940000" cy="3167337"/>
            <wp:docPr id="11" name="Picture 11"/>
            <wp:cNvGraphicFramePr>
              <a:graphicFrameLocks noChangeAspect="1"/>
            </wp:cNvGraphicFramePr>
            <a:graphic>
              <a:graphicData uri="http://schemas.openxmlformats.org/drawingml/2006/picture">
                <pic:pic>
                  <pic:nvPicPr>
                    <pic:cNvPr id="0" name="image.png"/>
                    <pic:cNvPicPr/>
                  </pic:nvPicPr>
                  <pic:blipFill>
                    <a:blip r:embed="rId21"/>
                    <a:stretch>
                      <a:fillRect/>
                    </a:stretch>
                  </pic:blipFill>
                  <pic:spPr>
                    <a:xfrm>
                      <a:off x="0" y="0"/>
                      <a:ext cx="5940000" cy="3167337"/>
                    </a:xfrm>
                    <a:prstGeom prst="rect"/>
                  </pic:spPr>
                </pic:pic>
              </a:graphicData>
            </a:graphic>
          </wp:inline>
        </w:drawing>
      </w:r>
    </w:p>
    <w:p>
      <w:pPr>
        <w:spacing w:after="120" w:before="0"/>
      </w:pPr>
    </w:p>
    <w:p>
      <w:pPr>
        <w:pStyle w:val="Heading1"/>
        <w:pageBreakBefore/>
        <w:pBdr>
          <w:bottom w:val="single" w:sz="8" w:space="4" w:color="C7951E"/>
        </w:pBdr>
      </w:pPr>
      <w:r>
        <w:rPr>
          <w:rFonts w:ascii="Calibri" w:hAnsi="Calibri" w:eastAsia="Calibri" w:cs="Calibri"/>
          <w:b/>
          <w:i w:val="0"/>
          <w:color w:val="C7951E"/>
          <w:sz w:val="30"/>
        </w:rPr>
        <w:t xml:space="preserve">7.  </w:t>
      </w:r>
      <w:r>
        <w:rPr>
          <w:rFonts w:ascii="Calibri" w:hAnsi="Calibri" w:eastAsia="Calibri" w:cs="Calibri"/>
          <w:b/>
          <w:i w:val="0"/>
          <w:color w:val="0F2246"/>
          <w:sz w:val="30"/>
        </w:rPr>
        <w:t>Sezione D, riscossione e gestione residui</w:t>
      </w:r>
    </w:p>
    <w:p>
      <w:pPr>
        <w:spacing w:after="160" w:before="0"/>
        <w:jc w:val="both"/>
      </w:pPr>
      <w:r>
        <w:rPr>
          <w:rFonts w:ascii="Calibri" w:hAnsi="Calibri" w:eastAsia="Calibri" w:cs="Calibri"/>
          <w:b w:val="0"/>
          <w:i/>
          <w:color w:val="656665"/>
          <w:sz w:val="19"/>
        </w:rPr>
        <w:t>La capacità di riscossione di competenza per i tre titoli di entrata correnti, integrata con la composizione dei flussi di entrata, fornisce la misura più robusta della sostenibilità finanziaria dell'ente nel medio periodo.</w:t>
      </w:r>
    </w:p>
    <w:p>
      <w:pPr>
        <w:spacing w:after="40" w:before="80"/>
        <w:jc w:val="center"/>
      </w:pPr>
      <w:r>
        <w:drawing>
          <wp:inline xmlns:a="http://schemas.openxmlformats.org/drawingml/2006/main" xmlns:pic="http://schemas.openxmlformats.org/drawingml/2006/picture">
            <wp:extent cx="5940000" cy="1702258"/>
            <wp:docPr id="12" name="Picture 12"/>
            <wp:cNvGraphicFramePr>
              <a:graphicFrameLocks noChangeAspect="1"/>
            </wp:cNvGraphicFramePr>
            <a:graphic>
              <a:graphicData uri="http://schemas.openxmlformats.org/drawingml/2006/picture">
                <pic:pic>
                  <pic:nvPicPr>
                    <pic:cNvPr id="0" name="image.png"/>
                    <pic:cNvPicPr/>
                  </pic:nvPicPr>
                  <pic:blipFill>
                    <a:blip r:embed="rId22"/>
                    <a:stretch>
                      <a:fillRect/>
                    </a:stretch>
                  </pic:blipFill>
                  <pic:spPr>
                    <a:xfrm>
                      <a:off x="0" y="0"/>
                      <a:ext cx="5940000" cy="1702258"/>
                    </a:xfrm>
                    <a:prstGeom prst="rect"/>
                  </pic:spPr>
                </pic:pic>
              </a:graphicData>
            </a:graphic>
          </wp:inline>
        </w:drawing>
      </w:r>
    </w:p>
    <w:p>
      <w:pPr>
        <w:spacing w:after="120" w:before="0"/>
      </w:pPr>
    </w:p>
    <w:p>
      <w:pPr>
        <w:keepNext/>
        <w:spacing w:after="60" w:before="80"/>
      </w:pPr>
      <w:r>
        <w:rPr>
          <w:rFonts w:ascii="Calibri" w:hAnsi="Calibri" w:eastAsia="Calibri" w:cs="Calibri"/>
          <w:b/>
          <w:i w:val="0"/>
          <w:color w:val="0F2246"/>
          <w:sz w:val="18"/>
        </w:rPr>
        <w:t>Tabella 4. Accertamenti e riscossioni degli ultimi tre esercizi (euro)</w:t>
      </w:r>
    </w:p>
    <w:tbl>
      <w:tblPr>
        <w:tblW w:type="dxa" w:w="9639"/>
        <w:jc w:val="center"/>
        <w:tblLayout w:type="fixed"/>
        <w:tblLook w:firstColumn="1" w:firstRow="1" w:lastColumn="0" w:lastRow="0" w:noHBand="0" w:noVBand="1" w:val="04A0"/>
      </w:tblPr>
      <w:tblGrid>
        <w:gridCol w:w="2835"/>
        <w:gridCol w:w="794"/>
        <w:gridCol w:w="1701"/>
        <w:gridCol w:w="1474"/>
        <w:gridCol w:w="1474"/>
        <w:gridCol w:w="1361"/>
      </w:tblGrid>
      <w:tr>
        <w:trPr>
          <w:cantSplit/>
          <w:tblHeader/>
        </w:trPr>
        <w:tc>
          <w:tcPr>
            <w:tcW w:type="dxa" w:w="2835"/>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7"/>
              </w:rPr>
              <w:t>Titolo</w:t>
            </w:r>
          </w:p>
        </w:tc>
        <w:tc>
          <w:tcPr>
            <w:tcW w:type="dxa" w:w="794"/>
            <w:shd w:val="clear" w:color="auto" w:fill="0F2246"/>
            <w:tcMar>
              <w:top w:w="50" w:type="dxa"/>
              <w:left w:w="80" w:type="dxa"/>
              <w:bottom w:w="50" w:type="dxa"/>
              <w:right w:w="80" w:type="dxa"/>
            </w:tcMar>
          </w:tcPr>
          <w:p>
            <w:pPr>
              <w:spacing w:after="0"/>
              <w:jc w:val="center"/>
            </w:pPr>
            <w:r>
              <w:rPr>
                <w:rFonts w:ascii="Calibri" w:hAnsi="Calibri" w:eastAsia="Calibri" w:cs="Calibri"/>
                <w:b/>
                <w:i w:val="0"/>
                <w:color w:val="FFFFFF"/>
                <w:sz w:val="17"/>
              </w:rPr>
              <w:t>Anno</w:t>
            </w:r>
          </w:p>
        </w:tc>
        <w:tc>
          <w:tcPr>
            <w:tcW w:type="dxa" w:w="1701"/>
            <w:shd w:val="clear" w:color="auto" w:fill="0F2246"/>
            <w:tcMar>
              <w:top w:w="50" w:type="dxa"/>
              <w:left w:w="80" w:type="dxa"/>
              <w:bottom w:w="50" w:type="dxa"/>
              <w:right w:w="80" w:type="dxa"/>
            </w:tcMar>
          </w:tcPr>
          <w:p>
            <w:pPr>
              <w:spacing w:after="0"/>
              <w:jc w:val="right"/>
            </w:pPr>
            <w:r>
              <w:rPr>
                <w:rFonts w:ascii="Calibri" w:hAnsi="Calibri" w:eastAsia="Calibri" w:cs="Calibri"/>
                <w:b/>
                <w:i w:val="0"/>
                <w:color w:val="FFFFFF"/>
                <w:sz w:val="17"/>
              </w:rPr>
              <w:t>Accertato</w:t>
            </w:r>
          </w:p>
        </w:tc>
        <w:tc>
          <w:tcPr>
            <w:tcW w:type="dxa" w:w="1474"/>
            <w:shd w:val="clear" w:color="auto" w:fill="0F2246"/>
            <w:tcMar>
              <w:top w:w="50" w:type="dxa"/>
              <w:left w:w="80" w:type="dxa"/>
              <w:bottom w:w="50" w:type="dxa"/>
              <w:right w:w="80" w:type="dxa"/>
            </w:tcMar>
          </w:tcPr>
          <w:p>
            <w:pPr>
              <w:spacing w:after="0"/>
              <w:jc w:val="right"/>
            </w:pPr>
            <w:r>
              <w:rPr>
                <w:rFonts w:ascii="Calibri" w:hAnsi="Calibri" w:eastAsia="Calibri" w:cs="Calibri"/>
                <w:b/>
                <w:i w:val="0"/>
                <w:color w:val="FFFFFF"/>
                <w:sz w:val="17"/>
              </w:rPr>
              <w:t>Riscosso C/C</w:t>
            </w:r>
          </w:p>
        </w:tc>
        <w:tc>
          <w:tcPr>
            <w:tcW w:type="dxa" w:w="1474"/>
            <w:shd w:val="clear" w:color="auto" w:fill="0F2246"/>
            <w:tcMar>
              <w:top w:w="50" w:type="dxa"/>
              <w:left w:w="80" w:type="dxa"/>
              <w:bottom w:w="50" w:type="dxa"/>
              <w:right w:w="80" w:type="dxa"/>
            </w:tcMar>
          </w:tcPr>
          <w:p>
            <w:pPr>
              <w:spacing w:after="0"/>
              <w:jc w:val="right"/>
            </w:pPr>
            <w:r>
              <w:rPr>
                <w:rFonts w:ascii="Calibri" w:hAnsi="Calibri" w:eastAsia="Calibri" w:cs="Calibri"/>
                <w:b/>
                <w:i w:val="0"/>
                <w:color w:val="FFFFFF"/>
                <w:sz w:val="17"/>
              </w:rPr>
              <w:t>Riscosso C/R</w:t>
            </w:r>
          </w:p>
        </w:tc>
        <w:tc>
          <w:tcPr>
            <w:tcW w:type="dxa" w:w="1361"/>
            <w:shd w:val="clear" w:color="auto" w:fill="0F2246"/>
            <w:tcMar>
              <w:top w:w="50" w:type="dxa"/>
              <w:left w:w="80" w:type="dxa"/>
              <w:bottom w:w="50" w:type="dxa"/>
              <w:right w:w="80" w:type="dxa"/>
            </w:tcMar>
          </w:tcPr>
          <w:p>
            <w:pPr>
              <w:spacing w:after="0"/>
              <w:jc w:val="right"/>
            </w:pPr>
            <w:r>
              <w:rPr>
                <w:rFonts w:ascii="Calibri" w:hAnsi="Calibri" w:eastAsia="Calibri" w:cs="Calibri"/>
                <w:b/>
                <w:i w:val="0"/>
                <w:color w:val="FFFFFF"/>
                <w:sz w:val="17"/>
              </w:rPr>
              <w:t>% Compet.</w:t>
            </w:r>
          </w:p>
        </w:tc>
      </w:tr>
      <w:tr>
        <w:trPr>
          <w:cantSplit/>
        </w:trPr>
        <w:tc>
          <w:tcPr>
            <w:tcW w:type="dxa" w:w="283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Entrate tributarie (Tit.I)</w:t>
            </w:r>
          </w:p>
        </w:tc>
        <w:tc>
          <w:tcPr>
            <w:tcW w:type="dxa" w:w="794"/>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i w:val="0"/>
                <w:color w:val="333333"/>
                <w:sz w:val="17"/>
              </w:rPr>
              <w:t>2019</w:t>
            </w:r>
          </w:p>
        </w:tc>
        <w:tc>
          <w:tcPr>
            <w:tcW w:type="dxa" w:w="170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379.928</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356.701</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37.488</w:t>
            </w:r>
          </w:p>
        </w:tc>
        <w:tc>
          <w:tcPr>
            <w:tcW w:type="dxa" w:w="136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2E7D52"/>
                <w:sz w:val="17"/>
              </w:rPr>
              <w:t>93,9%</w:t>
            </w:r>
          </w:p>
        </w:tc>
      </w:tr>
      <w:tr>
        <w:trPr>
          <w:cantSplit/>
        </w:trPr>
        <w:tc>
          <w:tcPr>
            <w:tcW w:type="dxa" w:w="283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r>
          </w:p>
        </w:tc>
        <w:tc>
          <w:tcPr>
            <w:tcW w:type="dxa" w:w="794"/>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i w:val="0"/>
                <w:color w:val="333333"/>
                <w:sz w:val="17"/>
              </w:rPr>
              <w:t>2020</w:t>
            </w:r>
          </w:p>
        </w:tc>
        <w:tc>
          <w:tcPr>
            <w:tcW w:type="dxa" w:w="170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374.586</w:t>
            </w:r>
          </w:p>
        </w:tc>
        <w:tc>
          <w:tcPr>
            <w:tcW w:type="dxa" w:w="147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336.018</w:t>
            </w:r>
          </w:p>
        </w:tc>
        <w:tc>
          <w:tcPr>
            <w:tcW w:type="dxa" w:w="147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28.350</w:t>
            </w:r>
          </w:p>
        </w:tc>
        <w:tc>
          <w:tcPr>
            <w:tcW w:type="dxa" w:w="136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2E7D52"/>
                <w:sz w:val="17"/>
              </w:rPr>
              <w:t>89,7%</w:t>
            </w:r>
          </w:p>
        </w:tc>
      </w:tr>
      <w:tr>
        <w:trPr>
          <w:cantSplit/>
        </w:trPr>
        <w:tc>
          <w:tcPr>
            <w:tcW w:type="dxa" w:w="283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r>
          </w:p>
        </w:tc>
        <w:tc>
          <w:tcPr>
            <w:tcW w:type="dxa" w:w="794"/>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i w:val="0"/>
                <w:color w:val="333333"/>
                <w:sz w:val="17"/>
              </w:rPr>
              <w:t>2021</w:t>
            </w:r>
          </w:p>
        </w:tc>
        <w:tc>
          <w:tcPr>
            <w:tcW w:type="dxa" w:w="170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366.516</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336.552</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38.114</w:t>
            </w:r>
          </w:p>
        </w:tc>
        <w:tc>
          <w:tcPr>
            <w:tcW w:type="dxa" w:w="136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2E7D52"/>
                <w:sz w:val="17"/>
              </w:rPr>
              <w:t>91,8%</w:t>
            </w:r>
          </w:p>
        </w:tc>
      </w:tr>
      <w:tr>
        <w:trPr>
          <w:cantSplit/>
        </w:trPr>
        <w:tc>
          <w:tcPr>
            <w:tcW w:type="dxa" w:w="283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Trasferimenti correnti (Tit.II)</w:t>
            </w:r>
          </w:p>
        </w:tc>
        <w:tc>
          <w:tcPr>
            <w:tcW w:type="dxa" w:w="794"/>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i w:val="0"/>
                <w:color w:val="333333"/>
                <w:sz w:val="17"/>
              </w:rPr>
              <w:t>2019</w:t>
            </w:r>
          </w:p>
        </w:tc>
        <w:tc>
          <w:tcPr>
            <w:tcW w:type="dxa" w:w="170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77.624</w:t>
            </w:r>
          </w:p>
        </w:tc>
        <w:tc>
          <w:tcPr>
            <w:tcW w:type="dxa" w:w="147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68.724</w:t>
            </w:r>
          </w:p>
        </w:tc>
        <w:tc>
          <w:tcPr>
            <w:tcW w:type="dxa" w:w="147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4.824</w:t>
            </w:r>
          </w:p>
        </w:tc>
        <w:tc>
          <w:tcPr>
            <w:tcW w:type="dxa" w:w="136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2E7D52"/>
                <w:sz w:val="17"/>
              </w:rPr>
              <w:t>88,5%</w:t>
            </w:r>
          </w:p>
        </w:tc>
      </w:tr>
      <w:tr>
        <w:trPr>
          <w:cantSplit/>
        </w:trPr>
        <w:tc>
          <w:tcPr>
            <w:tcW w:type="dxa" w:w="283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r>
          </w:p>
        </w:tc>
        <w:tc>
          <w:tcPr>
            <w:tcW w:type="dxa" w:w="794"/>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i w:val="0"/>
                <w:color w:val="333333"/>
                <w:sz w:val="17"/>
              </w:rPr>
              <w:t>2020</w:t>
            </w:r>
          </w:p>
        </w:tc>
        <w:tc>
          <w:tcPr>
            <w:tcW w:type="dxa" w:w="170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117.698</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81.213</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6.400</w:t>
            </w:r>
          </w:p>
        </w:tc>
        <w:tc>
          <w:tcPr>
            <w:tcW w:type="dxa" w:w="136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D98A2B"/>
                <w:sz w:val="17"/>
              </w:rPr>
              <w:t>69,0%</w:t>
            </w:r>
          </w:p>
        </w:tc>
      </w:tr>
      <w:tr>
        <w:trPr>
          <w:cantSplit/>
        </w:trPr>
        <w:tc>
          <w:tcPr>
            <w:tcW w:type="dxa" w:w="283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r>
          </w:p>
        </w:tc>
        <w:tc>
          <w:tcPr>
            <w:tcW w:type="dxa" w:w="794"/>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i w:val="0"/>
                <w:color w:val="333333"/>
                <w:sz w:val="17"/>
              </w:rPr>
              <w:t>2021</w:t>
            </w:r>
          </w:p>
        </w:tc>
        <w:tc>
          <w:tcPr>
            <w:tcW w:type="dxa" w:w="170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32.731</w:t>
            </w:r>
          </w:p>
        </w:tc>
        <w:tc>
          <w:tcPr>
            <w:tcW w:type="dxa" w:w="147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32.731</w:t>
            </w:r>
          </w:p>
        </w:tc>
        <w:tc>
          <w:tcPr>
            <w:tcW w:type="dxa" w:w="147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37.131</w:t>
            </w:r>
          </w:p>
        </w:tc>
        <w:tc>
          <w:tcPr>
            <w:tcW w:type="dxa" w:w="136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2E7D52"/>
                <w:sz w:val="17"/>
              </w:rPr>
              <w:t>100,0%</w:t>
            </w:r>
          </w:p>
        </w:tc>
      </w:tr>
      <w:tr>
        <w:trPr>
          <w:cantSplit/>
        </w:trPr>
        <w:tc>
          <w:tcPr>
            <w:tcW w:type="dxa" w:w="283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Entrate extratributarie (Tit.III)</w:t>
            </w:r>
          </w:p>
        </w:tc>
        <w:tc>
          <w:tcPr>
            <w:tcW w:type="dxa" w:w="794"/>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i w:val="0"/>
                <w:color w:val="333333"/>
                <w:sz w:val="17"/>
              </w:rPr>
              <w:t>2019</w:t>
            </w:r>
          </w:p>
        </w:tc>
        <w:tc>
          <w:tcPr>
            <w:tcW w:type="dxa" w:w="170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85.769</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68.861</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17.252</w:t>
            </w:r>
          </w:p>
        </w:tc>
        <w:tc>
          <w:tcPr>
            <w:tcW w:type="dxa" w:w="136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2E7D52"/>
                <w:sz w:val="17"/>
              </w:rPr>
              <w:t>80,3%</w:t>
            </w:r>
          </w:p>
        </w:tc>
      </w:tr>
      <w:tr>
        <w:trPr>
          <w:cantSplit/>
        </w:trPr>
        <w:tc>
          <w:tcPr>
            <w:tcW w:type="dxa" w:w="283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r>
          </w:p>
        </w:tc>
        <w:tc>
          <w:tcPr>
            <w:tcW w:type="dxa" w:w="794"/>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i w:val="0"/>
                <w:color w:val="333333"/>
                <w:sz w:val="17"/>
              </w:rPr>
              <w:t>2020</w:t>
            </w:r>
          </w:p>
        </w:tc>
        <w:tc>
          <w:tcPr>
            <w:tcW w:type="dxa" w:w="170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145.789</w:t>
            </w:r>
          </w:p>
        </w:tc>
        <w:tc>
          <w:tcPr>
            <w:tcW w:type="dxa" w:w="147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73.988</w:t>
            </w:r>
          </w:p>
        </w:tc>
        <w:tc>
          <w:tcPr>
            <w:tcW w:type="dxa" w:w="147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16.544</w:t>
            </w:r>
          </w:p>
        </w:tc>
        <w:tc>
          <w:tcPr>
            <w:tcW w:type="dxa" w:w="136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D98A2B"/>
                <w:sz w:val="17"/>
              </w:rPr>
              <w:t>50,7%</w:t>
            </w:r>
          </w:p>
        </w:tc>
      </w:tr>
      <w:tr>
        <w:trPr>
          <w:cantSplit/>
        </w:trPr>
        <w:tc>
          <w:tcPr>
            <w:tcW w:type="dxa" w:w="283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r>
          </w:p>
        </w:tc>
        <w:tc>
          <w:tcPr>
            <w:tcW w:type="dxa" w:w="794"/>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i w:val="0"/>
                <w:color w:val="333333"/>
                <w:sz w:val="17"/>
              </w:rPr>
              <w:t>2021</w:t>
            </w:r>
          </w:p>
        </w:tc>
        <w:tc>
          <w:tcPr>
            <w:tcW w:type="dxa" w:w="170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86.869</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72.030</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14.593</w:t>
            </w:r>
          </w:p>
        </w:tc>
        <w:tc>
          <w:tcPr>
            <w:tcW w:type="dxa" w:w="136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2E7D52"/>
                <w:sz w:val="17"/>
              </w:rPr>
              <w:t>82,9%</w:t>
            </w:r>
          </w:p>
        </w:tc>
      </w:tr>
    </w:tbl>
    <w:p>
      <w:pPr>
        <w:spacing w:after="120" w:before="0"/>
      </w:pPr>
    </w:p>
    <w:p>
      <w:pPr>
        <w:pStyle w:val="Heading2"/>
      </w:pPr>
      <w:r>
        <w:rPr>
          <w:rFonts w:ascii="Calibri" w:hAnsi="Calibri" w:eastAsia="Calibri" w:cs="Calibri"/>
          <w:b/>
          <w:i w:val="0"/>
          <w:color w:val="1A396B"/>
          <w:sz w:val="24"/>
        </w:rPr>
        <w:t>7.1  Composizione delle entrate, anno 2021</w:t>
      </w:r>
    </w:p>
    <w:p>
      <w:pPr>
        <w:spacing w:after="40" w:before="80"/>
        <w:jc w:val="center"/>
      </w:pPr>
      <w:r>
        <w:drawing>
          <wp:inline xmlns:a="http://schemas.openxmlformats.org/drawingml/2006/main" xmlns:pic="http://schemas.openxmlformats.org/drawingml/2006/picture">
            <wp:extent cx="5040000" cy="3409799"/>
            <wp:docPr id="13" name="Picture 13"/>
            <wp:cNvGraphicFramePr>
              <a:graphicFrameLocks noChangeAspect="1"/>
            </wp:cNvGraphicFramePr>
            <a:graphic>
              <a:graphicData uri="http://schemas.openxmlformats.org/drawingml/2006/picture">
                <pic:pic>
                  <pic:nvPicPr>
                    <pic:cNvPr id="0" name="image.png"/>
                    <pic:cNvPicPr/>
                  </pic:nvPicPr>
                  <pic:blipFill>
                    <a:blip r:embed="rId23"/>
                    <a:stretch>
                      <a:fillRect/>
                    </a:stretch>
                  </pic:blipFill>
                  <pic:spPr>
                    <a:xfrm>
                      <a:off x="0" y="0"/>
                      <a:ext cx="5040000" cy="3409799"/>
                    </a:xfrm>
                    <a:prstGeom prst="rect"/>
                  </pic:spPr>
                </pic:pic>
              </a:graphicData>
            </a:graphic>
          </wp:inline>
        </w:drawing>
      </w:r>
    </w:p>
    <w:p>
      <w:pPr>
        <w:spacing w:after="120" w:before="0"/>
      </w:pPr>
    </w:p>
    <w:p>
      <w:pPr>
        <w:pStyle w:val="Heading1"/>
        <w:pageBreakBefore/>
        <w:pBdr>
          <w:bottom w:val="single" w:sz="8" w:space="4" w:color="C7951E"/>
        </w:pBdr>
      </w:pPr>
      <w:r>
        <w:rPr>
          <w:rFonts w:ascii="Calibri" w:hAnsi="Calibri" w:eastAsia="Calibri" w:cs="Calibri"/>
          <w:b/>
          <w:i w:val="0"/>
          <w:color w:val="C7951E"/>
          <w:sz w:val="30"/>
        </w:rPr>
        <w:t xml:space="preserve">8.  </w:t>
      </w:r>
      <w:r>
        <w:rPr>
          <w:rFonts w:ascii="Calibri" w:hAnsi="Calibri" w:eastAsia="Calibri" w:cs="Calibri"/>
          <w:b/>
          <w:i w:val="0"/>
          <w:color w:val="0F2246"/>
          <w:sz w:val="30"/>
        </w:rPr>
        <w:t>Sezione E, indebitamento</w:t>
      </w:r>
    </w:p>
    <w:p>
      <w:pPr>
        <w:spacing w:after="160" w:before="0"/>
        <w:jc w:val="both"/>
      </w:pPr>
      <w:r>
        <w:rPr>
          <w:rFonts w:ascii="Calibri" w:hAnsi="Calibri" w:eastAsia="Calibri" w:cs="Calibri"/>
          <w:b w:val="0"/>
          <w:i/>
          <w:color w:val="656665"/>
          <w:sz w:val="19"/>
        </w:rPr>
        <w:t>L'art. 204 del TUEL fissa al 10% il limite massimo del rapporto tra interessi passivi e entrate correnti del rendiconto del penultimo anno precedente. Il rispetto di tale limite è condizione per l'assunzione di nuovi mutui.</w:t>
      </w:r>
    </w:p>
    <w:p>
      <w:pPr>
        <w:spacing w:after="40" w:before="80"/>
        <w:jc w:val="center"/>
      </w:pPr>
      <w:r>
        <w:drawing>
          <wp:inline xmlns:a="http://schemas.openxmlformats.org/drawingml/2006/main" xmlns:pic="http://schemas.openxmlformats.org/drawingml/2006/picture">
            <wp:extent cx="3960000" cy="4139186"/>
            <wp:docPr id="14" name="Picture 14"/>
            <wp:cNvGraphicFramePr>
              <a:graphicFrameLocks noChangeAspect="1"/>
            </wp:cNvGraphicFramePr>
            <a:graphic>
              <a:graphicData uri="http://schemas.openxmlformats.org/drawingml/2006/picture">
                <pic:pic>
                  <pic:nvPicPr>
                    <pic:cNvPr id="0" name="image.png"/>
                    <pic:cNvPicPr/>
                  </pic:nvPicPr>
                  <pic:blipFill>
                    <a:blip r:embed="rId24"/>
                    <a:stretch>
                      <a:fillRect/>
                    </a:stretch>
                  </pic:blipFill>
                  <pic:spPr>
                    <a:xfrm>
                      <a:off x="0" y="0"/>
                      <a:ext cx="3960000" cy="4139186"/>
                    </a:xfrm>
                    <a:prstGeom prst="rect"/>
                  </pic:spPr>
                </pic:pic>
              </a:graphicData>
            </a:graphic>
          </wp:inline>
        </w:drawing>
      </w:r>
    </w:p>
    <w:p>
      <w:pPr>
        <w:spacing w:after="120" w:before="0"/>
      </w:pPr>
    </w:p>
    <w:p>
      <w:pPr>
        <w:keepNext/>
        <w:spacing w:after="60" w:before="80"/>
      </w:pPr>
      <w:r>
        <w:rPr>
          <w:rFonts w:ascii="Calibri" w:hAnsi="Calibri" w:eastAsia="Calibri" w:cs="Calibri"/>
          <w:b/>
          <w:i w:val="0"/>
          <w:color w:val="0F2246"/>
          <w:sz w:val="18"/>
        </w:rPr>
        <w:t>Tabella 5. Limite all'indebitamento, art. 204 TUEL</w:t>
      </w:r>
    </w:p>
    <w:tbl>
      <w:tblPr>
        <w:tblW w:type="dxa" w:w="9638"/>
        <w:jc w:val="center"/>
        <w:tblLayout w:type="fixed"/>
        <w:tblLook w:firstColumn="1" w:firstRow="1" w:lastColumn="0" w:lastRow="0" w:noHBand="0" w:noVBand="1" w:val="04A0"/>
      </w:tblPr>
      <w:tblGrid>
        <w:gridCol w:w="907"/>
        <w:gridCol w:w="2268"/>
        <w:gridCol w:w="1928"/>
        <w:gridCol w:w="1474"/>
        <w:gridCol w:w="1474"/>
        <w:gridCol w:w="1587"/>
      </w:tblGrid>
      <w:tr>
        <w:trPr>
          <w:cantSplit/>
          <w:tblHeader/>
        </w:trPr>
        <w:tc>
          <w:tcPr>
            <w:tcW w:type="dxa" w:w="907"/>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7"/>
              </w:rPr>
              <w:t>Anno</w:t>
            </w:r>
          </w:p>
        </w:tc>
        <w:tc>
          <w:tcPr>
            <w:tcW w:type="dxa" w:w="2268"/>
            <w:shd w:val="clear" w:color="auto" w:fill="0F2246"/>
            <w:tcMar>
              <w:top w:w="50" w:type="dxa"/>
              <w:left w:w="80" w:type="dxa"/>
              <w:bottom w:w="50" w:type="dxa"/>
              <w:right w:w="80" w:type="dxa"/>
            </w:tcMar>
          </w:tcPr>
          <w:p>
            <w:pPr>
              <w:spacing w:after="0"/>
              <w:jc w:val="right"/>
            </w:pPr>
            <w:r>
              <w:rPr>
                <w:rFonts w:ascii="Calibri" w:hAnsi="Calibri" w:eastAsia="Calibri" w:cs="Calibri"/>
                <w:b/>
                <w:i w:val="0"/>
                <w:color w:val="FFFFFF"/>
                <w:sz w:val="17"/>
              </w:rPr>
              <w:t>Entrate correnti</w:t>
            </w:r>
          </w:p>
        </w:tc>
        <w:tc>
          <w:tcPr>
            <w:tcW w:type="dxa" w:w="1928"/>
            <w:shd w:val="clear" w:color="auto" w:fill="0F2246"/>
            <w:tcMar>
              <w:top w:w="50" w:type="dxa"/>
              <w:left w:w="80" w:type="dxa"/>
              <w:bottom w:w="50" w:type="dxa"/>
              <w:right w:w="80" w:type="dxa"/>
            </w:tcMar>
          </w:tcPr>
          <w:p>
            <w:pPr>
              <w:spacing w:after="0"/>
              <w:jc w:val="right"/>
            </w:pPr>
            <w:r>
              <w:rPr>
                <w:rFonts w:ascii="Calibri" w:hAnsi="Calibri" w:eastAsia="Calibri" w:cs="Calibri"/>
                <w:b/>
                <w:i w:val="0"/>
                <w:color w:val="FFFFFF"/>
                <w:sz w:val="17"/>
              </w:rPr>
              <w:t>Interessi passivi</w:t>
            </w:r>
          </w:p>
        </w:tc>
        <w:tc>
          <w:tcPr>
            <w:tcW w:type="dxa" w:w="1474"/>
            <w:shd w:val="clear" w:color="auto" w:fill="0F2246"/>
            <w:tcMar>
              <w:top w:w="50" w:type="dxa"/>
              <w:left w:w="80" w:type="dxa"/>
              <w:bottom w:w="50" w:type="dxa"/>
              <w:right w:w="80" w:type="dxa"/>
            </w:tcMar>
          </w:tcPr>
          <w:p>
            <w:pPr>
              <w:spacing w:after="0"/>
              <w:jc w:val="right"/>
            </w:pPr>
            <w:r>
              <w:rPr>
                <w:rFonts w:ascii="Calibri" w:hAnsi="Calibri" w:eastAsia="Calibri" w:cs="Calibri"/>
                <w:b/>
                <w:i w:val="0"/>
                <w:color w:val="FFFFFF"/>
                <w:sz w:val="17"/>
              </w:rPr>
              <w:t>% rapporto</w:t>
            </w:r>
          </w:p>
        </w:tc>
        <w:tc>
          <w:tcPr>
            <w:tcW w:type="dxa" w:w="1474"/>
            <w:shd w:val="clear" w:color="auto" w:fill="0F2246"/>
            <w:tcMar>
              <w:top w:w="50" w:type="dxa"/>
              <w:left w:w="80" w:type="dxa"/>
              <w:bottom w:w="50" w:type="dxa"/>
              <w:right w:w="80" w:type="dxa"/>
            </w:tcMar>
          </w:tcPr>
          <w:p>
            <w:pPr>
              <w:spacing w:after="0"/>
              <w:jc w:val="center"/>
            </w:pPr>
            <w:r>
              <w:rPr>
                <w:rFonts w:ascii="Calibri" w:hAnsi="Calibri" w:eastAsia="Calibri" w:cs="Calibri"/>
                <w:b/>
                <w:i w:val="0"/>
                <w:color w:val="FFFFFF"/>
                <w:sz w:val="17"/>
              </w:rPr>
              <w:t>Limite (10%)</w:t>
            </w:r>
          </w:p>
        </w:tc>
        <w:tc>
          <w:tcPr>
            <w:tcW w:type="dxa" w:w="1587"/>
            <w:shd w:val="clear" w:color="auto" w:fill="0F2246"/>
            <w:tcMar>
              <w:top w:w="50" w:type="dxa"/>
              <w:left w:w="80" w:type="dxa"/>
              <w:bottom w:w="50" w:type="dxa"/>
              <w:right w:w="80" w:type="dxa"/>
            </w:tcMar>
          </w:tcPr>
          <w:p>
            <w:pPr>
              <w:spacing w:after="0"/>
              <w:jc w:val="center"/>
            </w:pPr>
            <w:r>
              <w:rPr>
                <w:rFonts w:ascii="Calibri" w:hAnsi="Calibri" w:eastAsia="Calibri" w:cs="Calibri"/>
                <w:b/>
                <w:i w:val="0"/>
                <w:color w:val="FFFFFF"/>
                <w:sz w:val="17"/>
              </w:rPr>
              <w:t>Esito</w:t>
            </w:r>
          </w:p>
        </w:tc>
      </w:tr>
      <w:tr>
        <w:trPr>
          <w:cantSplit/>
        </w:trPr>
        <w:tc>
          <w:tcPr>
            <w:tcW w:type="dxa" w:w="907"/>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2017</w:t>
            </w:r>
          </w:p>
        </w:tc>
        <w:tc>
          <w:tcPr>
            <w:tcW w:type="dxa" w:w="2268"/>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358.041 €</w:t>
            </w:r>
          </w:p>
        </w:tc>
        <w:tc>
          <w:tcPr>
            <w:tcW w:type="dxa" w:w="1928"/>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8.769 €</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333333"/>
                <w:sz w:val="17"/>
              </w:rPr>
              <w:t>2,45%</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656665"/>
                <w:sz w:val="17"/>
              </w:rPr>
              <w:t>10,00%</w:t>
            </w:r>
          </w:p>
        </w:tc>
        <w:tc>
          <w:tcPr>
            <w:tcW w:type="dxa" w:w="1587"/>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rispettato</w:t>
            </w:r>
          </w:p>
        </w:tc>
      </w:tr>
      <w:tr>
        <w:trPr>
          <w:cantSplit/>
        </w:trPr>
        <w:tc>
          <w:tcPr>
            <w:tcW w:type="dxa" w:w="907"/>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2018</w:t>
            </w:r>
          </w:p>
        </w:tc>
        <w:tc>
          <w:tcPr>
            <w:tcW w:type="dxa" w:w="2268"/>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380.455 €</w:t>
            </w:r>
          </w:p>
        </w:tc>
        <w:tc>
          <w:tcPr>
            <w:tcW w:type="dxa" w:w="1928"/>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7.682 €</w:t>
            </w:r>
          </w:p>
        </w:tc>
        <w:tc>
          <w:tcPr>
            <w:tcW w:type="dxa" w:w="147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333333"/>
                <w:sz w:val="17"/>
              </w:rPr>
              <w:t>2,02%</w:t>
            </w:r>
          </w:p>
        </w:tc>
        <w:tc>
          <w:tcPr>
            <w:tcW w:type="dxa" w:w="1474"/>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656665"/>
                <w:sz w:val="17"/>
              </w:rPr>
              <w:t>10,00%</w:t>
            </w:r>
          </w:p>
        </w:tc>
        <w:tc>
          <w:tcPr>
            <w:tcW w:type="dxa" w:w="1587"/>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rispettato</w:t>
            </w:r>
          </w:p>
        </w:tc>
      </w:tr>
      <w:tr>
        <w:trPr>
          <w:cantSplit/>
        </w:trPr>
        <w:tc>
          <w:tcPr>
            <w:tcW w:type="dxa" w:w="907"/>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2019</w:t>
            </w:r>
          </w:p>
        </w:tc>
        <w:tc>
          <w:tcPr>
            <w:tcW w:type="dxa" w:w="2268"/>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394.189 €</w:t>
            </w:r>
          </w:p>
        </w:tc>
        <w:tc>
          <w:tcPr>
            <w:tcW w:type="dxa" w:w="1928"/>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6.541 €</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333333"/>
                <w:sz w:val="17"/>
              </w:rPr>
              <w:t>1,66%</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656665"/>
                <w:sz w:val="17"/>
              </w:rPr>
              <w:t>10,00%</w:t>
            </w:r>
          </w:p>
        </w:tc>
        <w:tc>
          <w:tcPr>
            <w:tcW w:type="dxa" w:w="1587"/>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rispettato</w:t>
            </w:r>
          </w:p>
        </w:tc>
      </w:tr>
      <w:tr>
        <w:trPr>
          <w:cantSplit/>
        </w:trPr>
        <w:tc>
          <w:tcPr>
            <w:tcW w:type="dxa" w:w="907"/>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2020</w:t>
            </w:r>
          </w:p>
        </w:tc>
        <w:tc>
          <w:tcPr>
            <w:tcW w:type="dxa" w:w="2268"/>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364.369 €</w:t>
            </w:r>
          </w:p>
        </w:tc>
        <w:tc>
          <w:tcPr>
            <w:tcW w:type="dxa" w:w="1928"/>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5.646 €</w:t>
            </w:r>
          </w:p>
        </w:tc>
        <w:tc>
          <w:tcPr>
            <w:tcW w:type="dxa" w:w="147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333333"/>
                <w:sz w:val="17"/>
              </w:rPr>
              <w:t>1,55%</w:t>
            </w:r>
          </w:p>
        </w:tc>
        <w:tc>
          <w:tcPr>
            <w:tcW w:type="dxa" w:w="1474"/>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656665"/>
                <w:sz w:val="17"/>
              </w:rPr>
              <w:t>10,00%</w:t>
            </w:r>
          </w:p>
        </w:tc>
        <w:tc>
          <w:tcPr>
            <w:tcW w:type="dxa" w:w="1587"/>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rispettato</w:t>
            </w:r>
          </w:p>
        </w:tc>
      </w:tr>
      <w:tr>
        <w:trPr>
          <w:cantSplit/>
        </w:trPr>
        <w:tc>
          <w:tcPr>
            <w:tcW w:type="dxa" w:w="907"/>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2021</w:t>
            </w:r>
          </w:p>
        </w:tc>
        <w:tc>
          <w:tcPr>
            <w:tcW w:type="dxa" w:w="2268"/>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374.666 €</w:t>
            </w:r>
          </w:p>
        </w:tc>
        <w:tc>
          <w:tcPr>
            <w:tcW w:type="dxa" w:w="1928"/>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4.791 €</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333333"/>
                <w:sz w:val="17"/>
              </w:rPr>
              <w:t>1,28%</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656665"/>
                <w:sz w:val="17"/>
              </w:rPr>
              <w:t>10,00%</w:t>
            </w:r>
          </w:p>
        </w:tc>
        <w:tc>
          <w:tcPr>
            <w:tcW w:type="dxa" w:w="1587"/>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rispettato</w:t>
            </w:r>
          </w:p>
        </w:tc>
      </w:tr>
    </w:tbl>
    <w:p>
      <w:pPr>
        <w:spacing w:after="120" w:before="0"/>
      </w:pPr>
    </w:p>
    <w:p>
      <w:pPr>
        <w:pStyle w:val="Heading1"/>
        <w:pageBreakBefore/>
        <w:pBdr>
          <w:bottom w:val="single" w:sz="8" w:space="4" w:color="C7951E"/>
        </w:pBdr>
      </w:pPr>
      <w:r>
        <w:rPr>
          <w:rFonts w:ascii="Calibri" w:hAnsi="Calibri" w:eastAsia="Calibri" w:cs="Calibri"/>
          <w:b/>
          <w:i w:val="0"/>
          <w:color w:val="C7951E"/>
          <w:sz w:val="30"/>
        </w:rPr>
        <w:t xml:space="preserve">9.  </w:t>
      </w:r>
      <w:r>
        <w:rPr>
          <w:rFonts w:ascii="Calibri" w:hAnsi="Calibri" w:eastAsia="Calibri" w:cs="Calibri"/>
          <w:b/>
          <w:i w:val="0"/>
          <w:color w:val="0F2246"/>
          <w:sz w:val="30"/>
        </w:rPr>
        <w:t>Sezione F, criticità SezAut e azioni correttive</w:t>
      </w:r>
    </w:p>
    <w:p>
      <w:pPr>
        <w:spacing w:after="160" w:before="0"/>
        <w:jc w:val="both"/>
      </w:pPr>
      <w:r>
        <w:rPr>
          <w:rFonts w:ascii="Calibri" w:hAnsi="Calibri" w:eastAsia="Calibri" w:cs="Calibri"/>
          <w:b w:val="0"/>
          <w:i/>
          <w:color w:val="656665"/>
          <w:sz w:val="19"/>
        </w:rPr>
        <w:t>La Sezione delle Autonomie della Corte dei conti, con le delibere 8/2024 e 8/2025, ha individuato le aree di maggiore attenzione nell'analisi dei rendiconti degli enti locali. La presente sezione raccoglie le criticità rilevate, le azioni già adottate dall'Ente e quelle programmate per l'esercizio successivo.</w:t>
      </w:r>
    </w:p>
    <w:tbl>
      <w:tblPr>
        <w:tblW w:type="dxa" w:w="9638"/>
        <w:jc w:val="center"/>
        <w:tblLayout w:type="fixed"/>
        <w:tblLook w:firstColumn="1" w:firstRow="1" w:lastColumn="0" w:lastRow="0" w:noHBand="0" w:noVBand="1" w:val="04A0"/>
      </w:tblPr>
      <w:tblGrid>
        <w:gridCol w:w="2381"/>
        <w:gridCol w:w="3175"/>
        <w:gridCol w:w="4082"/>
      </w:tblGrid>
      <w:tr>
        <w:trPr>
          <w:cantSplit/>
          <w:tblHeader/>
        </w:trPr>
        <w:tc>
          <w:tcPr>
            <w:tcW w:type="dxa" w:w="2381"/>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7"/>
              </w:rPr>
              <w:t>Area</w:t>
            </w:r>
          </w:p>
        </w:tc>
        <w:tc>
          <w:tcPr>
            <w:tcW w:type="dxa" w:w="3175"/>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7"/>
              </w:rPr>
              <w:t>Criticità rilevata</w:t>
            </w:r>
          </w:p>
        </w:tc>
        <w:tc>
          <w:tcPr>
            <w:tcW w:type="dxa" w:w="4082"/>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7"/>
              </w:rPr>
              <w:t>Azione correttiva</w:t>
            </w:r>
          </w:p>
        </w:tc>
      </w:tr>
      <w:tr>
        <w:trPr>
          <w:cantSplit/>
        </w:trPr>
        <w:tc>
          <w:tcPr>
            <w:tcW w:type="dxa" w:w="2381"/>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FCDE Copertura Globale</w:t>
            </w:r>
          </w:p>
        </w:tc>
        <w:tc>
          <w:tcPr>
            <w:tcW w:type="dxa" w:w="317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Valore osservato 24,6 %, contro mediana fascia 34,3.</w:t>
            </w:r>
          </w:p>
        </w:tc>
        <w:tc>
          <w:tcPr>
            <w:tcW w:type="dxa" w:w="4082"/>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Adeguare il fondo FCDE alla consistenza dei residui attivi a rischio, includendo sia le entrate tributarie che le extratributarie (sanzioni, canoni, proventi).</w:t>
            </w:r>
          </w:p>
        </w:tc>
      </w:tr>
    </w:tbl>
    <w:p>
      <w:pPr>
        <w:spacing w:after="120" w:before="0"/>
      </w:pPr>
    </w:p>
    <w:p>
      <w:pPr>
        <w:pStyle w:val="Heading2"/>
      </w:pPr>
      <w:r>
        <w:rPr>
          <w:rFonts w:ascii="Calibri" w:hAnsi="Calibri" w:eastAsia="Calibri" w:cs="Calibri"/>
          <w:b/>
          <w:i w:val="0"/>
          <w:color w:val="1A396B"/>
          <w:sz w:val="24"/>
        </w:rPr>
        <w:t>9.1  Sintesi delle azioni di miglioramento programmate</w:t>
      </w:r>
    </w:p>
    <w:p>
      <w:pPr>
        <w:spacing w:after="120" w:before="0"/>
        <w:jc w:val="both"/>
      </w:pPr>
      <w:r>
        <w:rPr>
          <w:rFonts w:ascii="Calibri" w:hAnsi="Calibri" w:eastAsia="Calibri" w:cs="Calibri"/>
          <w:b w:val="0"/>
          <w:i w:val="0"/>
          <w:color w:val="333333"/>
          <w:sz w:val="21"/>
        </w:rPr>
        <w:t>Il Servizio Finanziario, anche in coerenza con la programmazione di mandato e con il DUP, prosegue il presidio sui seguenti ambiti:</w:t>
      </w:r>
    </w:p>
    <w:p>
      <w:pPr>
        <w:tabs>
          <w:tab w:pos="397" w:val="left"/>
        </w:tabs>
        <w:spacing w:after="60"/>
        <w:ind w:left="397" w:hanging="255"/>
        <w:jc w:val="both"/>
      </w:pPr>
      <w:r>
        <w:rPr>
          <w:rFonts w:ascii="Calibri" w:hAnsi="Calibri" w:eastAsia="Calibri" w:cs="Calibri"/>
          <w:b/>
          <w:i w:val="0"/>
          <w:color w:val="C7951E"/>
          <w:sz w:val="21"/>
        </w:rPr>
        <w:t>•</w:t>
        <w:tab/>
      </w:r>
      <w:r>
        <w:rPr>
          <w:rFonts w:ascii="Calibri" w:hAnsi="Calibri" w:eastAsia="Calibri" w:cs="Calibri"/>
          <w:b/>
          <w:i w:val="0"/>
          <w:color w:val="333333"/>
          <w:sz w:val="21"/>
        </w:rPr>
        <w:t>Riscossione coattiva</w:t>
      </w:r>
      <w:r>
        <w:rPr>
          <w:rFonts w:ascii="Calibri" w:hAnsi="Calibri" w:eastAsia="Calibri" w:cs="Calibri"/>
          <w:b w:val="0"/>
          <w:i w:val="0"/>
          <w:color w:val="333333"/>
          <w:sz w:val="21"/>
        </w:rPr>
        <w:t>, accelerazione delle procedure ai sensi del D.L. 146/2021 e della L. 199/2025, valorizzazione della rottamazione delle entrate locali ove deliberata.</w:t>
      </w:r>
    </w:p>
    <w:p>
      <w:pPr>
        <w:tabs>
          <w:tab w:pos="397" w:val="left"/>
        </w:tabs>
        <w:spacing w:after="60"/>
        <w:ind w:left="397" w:hanging="255"/>
        <w:jc w:val="both"/>
      </w:pPr>
      <w:r>
        <w:rPr>
          <w:rFonts w:ascii="Calibri" w:hAnsi="Calibri" w:eastAsia="Calibri" w:cs="Calibri"/>
          <w:b/>
          <w:i w:val="0"/>
          <w:color w:val="C7951E"/>
          <w:sz w:val="21"/>
        </w:rPr>
        <w:t>•</w:t>
        <w:tab/>
      </w:r>
      <w:r>
        <w:rPr>
          <w:rFonts w:ascii="Calibri" w:hAnsi="Calibri" w:eastAsia="Calibri" w:cs="Calibri"/>
          <w:b/>
          <w:i w:val="0"/>
          <w:color w:val="333333"/>
          <w:sz w:val="21"/>
        </w:rPr>
        <w:t>FCDE, Fondo Crediti di Dubbia Esigibilità</w:t>
      </w:r>
      <w:r>
        <w:rPr>
          <w:rFonts w:ascii="Calibri" w:hAnsi="Calibri" w:eastAsia="Calibri" w:cs="Calibri"/>
          <w:b w:val="0"/>
          <w:i w:val="0"/>
          <w:color w:val="333333"/>
          <w:sz w:val="21"/>
        </w:rPr>
        <w:t>, verifica annuale della congruità del fondo accantonato in sede di rendiconto, secondo il principio contabile applicato (Allegato 4/2 al D.Lgs. 118/2011).</w:t>
      </w:r>
    </w:p>
    <w:p>
      <w:pPr>
        <w:tabs>
          <w:tab w:pos="397" w:val="left"/>
        </w:tabs>
        <w:spacing w:after="60"/>
        <w:ind w:left="397" w:hanging="255"/>
        <w:jc w:val="both"/>
      </w:pPr>
      <w:r>
        <w:rPr>
          <w:rFonts w:ascii="Calibri" w:hAnsi="Calibri" w:eastAsia="Calibri" w:cs="Calibri"/>
          <w:b/>
          <w:i w:val="0"/>
          <w:color w:val="C7951E"/>
          <w:sz w:val="21"/>
        </w:rPr>
        <w:t>•</w:t>
        <w:tab/>
      </w:r>
      <w:r>
        <w:rPr>
          <w:rFonts w:ascii="Calibri" w:hAnsi="Calibri" w:eastAsia="Calibri" w:cs="Calibri"/>
          <w:b/>
          <w:i w:val="0"/>
          <w:color w:val="333333"/>
          <w:sz w:val="21"/>
        </w:rPr>
        <w:t>Spesa di personale</w:t>
      </w:r>
      <w:r>
        <w:rPr>
          <w:rFonts w:ascii="Calibri" w:hAnsi="Calibri" w:eastAsia="Calibri" w:cs="Calibri"/>
          <w:b w:val="0"/>
          <w:i w:val="0"/>
          <w:color w:val="333333"/>
          <w:sz w:val="21"/>
        </w:rPr>
        <w:t>, controllo del rispetto del valore soglia ai sensi dell'art. 33 del D.L. 34/2019 come convertito.</w:t>
      </w:r>
    </w:p>
    <w:p>
      <w:pPr>
        <w:tabs>
          <w:tab w:pos="397" w:val="left"/>
        </w:tabs>
        <w:spacing w:after="60"/>
        <w:ind w:left="397" w:hanging="255"/>
        <w:jc w:val="both"/>
      </w:pPr>
      <w:r>
        <w:rPr>
          <w:rFonts w:ascii="Calibri" w:hAnsi="Calibri" w:eastAsia="Calibri" w:cs="Calibri"/>
          <w:b/>
          <w:i w:val="0"/>
          <w:color w:val="C7951E"/>
          <w:sz w:val="21"/>
        </w:rPr>
        <w:t>•</w:t>
        <w:tab/>
      </w:r>
      <w:r>
        <w:rPr>
          <w:rFonts w:ascii="Calibri" w:hAnsi="Calibri" w:eastAsia="Calibri" w:cs="Calibri"/>
          <w:b/>
          <w:i w:val="0"/>
          <w:color w:val="333333"/>
          <w:sz w:val="21"/>
        </w:rPr>
        <w:t>Tempi medi di pagamento</w:t>
      </w:r>
      <w:r>
        <w:rPr>
          <w:rFonts w:ascii="Calibri" w:hAnsi="Calibri" w:eastAsia="Calibri" w:cs="Calibri"/>
          <w:b w:val="0"/>
          <w:i w:val="0"/>
          <w:color w:val="333333"/>
          <w:sz w:val="21"/>
        </w:rPr>
        <w:t>, monitoraggio PCC e indicatore ITP per garantire il rispetto dei termini di legge (D.Lgs. 192/2012).</w:t>
      </w:r>
    </w:p>
    <w:p>
      <w:pPr>
        <w:tabs>
          <w:tab w:pos="397" w:val="left"/>
        </w:tabs>
        <w:spacing w:after="60"/>
        <w:ind w:left="397" w:hanging="255"/>
        <w:jc w:val="both"/>
      </w:pPr>
      <w:r>
        <w:rPr>
          <w:rFonts w:ascii="Calibri" w:hAnsi="Calibri" w:eastAsia="Calibri" w:cs="Calibri"/>
          <w:b/>
          <w:i w:val="0"/>
          <w:color w:val="C7951E"/>
          <w:sz w:val="21"/>
        </w:rPr>
        <w:t>•</w:t>
        <w:tab/>
      </w:r>
      <w:r>
        <w:rPr>
          <w:rFonts w:ascii="Calibri" w:hAnsi="Calibri" w:eastAsia="Calibri" w:cs="Calibri"/>
          <w:b/>
          <w:i w:val="0"/>
          <w:color w:val="333333"/>
          <w:sz w:val="21"/>
        </w:rPr>
        <w:t>Equilibri di bilancio</w:t>
      </w:r>
      <w:r>
        <w:rPr>
          <w:rFonts w:ascii="Calibri" w:hAnsi="Calibri" w:eastAsia="Calibri" w:cs="Calibri"/>
          <w:b w:val="0"/>
          <w:i w:val="0"/>
          <w:color w:val="333333"/>
          <w:sz w:val="21"/>
        </w:rPr>
        <w:t>, verifica costante degli equilibri di parte corrente e di parte capitale ai sensi dell'art. 162, comma 6, TUEL.</w:t>
      </w:r>
    </w:p>
    <w:p>
      <w:pPr>
        <w:tabs>
          <w:tab w:pos="397" w:val="left"/>
        </w:tabs>
        <w:spacing w:after="60"/>
        <w:ind w:left="397" w:hanging="255"/>
        <w:jc w:val="both"/>
      </w:pPr>
      <w:r>
        <w:rPr>
          <w:rFonts w:ascii="Calibri" w:hAnsi="Calibri" w:eastAsia="Calibri" w:cs="Calibri"/>
          <w:b/>
          <w:i w:val="0"/>
          <w:color w:val="C7951E"/>
          <w:sz w:val="21"/>
        </w:rPr>
        <w:t>•</w:t>
        <w:tab/>
      </w:r>
      <w:r>
        <w:rPr>
          <w:rFonts w:ascii="Calibri" w:hAnsi="Calibri" w:eastAsia="Calibri" w:cs="Calibri"/>
          <w:b/>
          <w:i w:val="0"/>
          <w:color w:val="333333"/>
          <w:sz w:val="21"/>
        </w:rPr>
        <w:t>Partecipate</w:t>
      </w:r>
      <w:r>
        <w:rPr>
          <w:rFonts w:ascii="Calibri" w:hAnsi="Calibri" w:eastAsia="Calibri" w:cs="Calibri"/>
          <w:b w:val="0"/>
          <w:i w:val="0"/>
          <w:color w:val="333333"/>
          <w:sz w:val="21"/>
        </w:rPr>
        <w:t>, monitoraggio dei risultati delle società partecipate e dei rispettivi piani di razionalizzazione (D.Lgs. 175/2016 TUSP).</w:t>
      </w:r>
    </w:p>
    <w:p>
      <w:pPr>
        <w:pStyle w:val="Heading1"/>
        <w:pageBreakBefore/>
        <w:pBdr>
          <w:bottom w:val="single" w:sz="8" w:space="4" w:color="C7951E"/>
        </w:pBdr>
      </w:pPr>
      <w:r>
        <w:rPr>
          <w:rFonts w:ascii="Calibri" w:hAnsi="Calibri" w:eastAsia="Calibri" w:cs="Calibri"/>
          <w:b/>
          <w:i w:val="0"/>
          <w:color w:val="C7951E"/>
          <w:sz w:val="30"/>
        </w:rPr>
        <w:t xml:space="preserve">10.  </w:t>
      </w:r>
      <w:r>
        <w:rPr>
          <w:rFonts w:ascii="Calibri" w:hAnsi="Calibri" w:eastAsia="Calibri" w:cs="Calibri"/>
          <w:b/>
          <w:i w:val="0"/>
          <w:color w:val="0F2246"/>
          <w:sz w:val="30"/>
        </w:rPr>
        <w:t>Conclusioni</w:t>
      </w:r>
    </w:p>
    <w:p>
      <w:pPr>
        <w:spacing w:after="120" w:before="0"/>
        <w:jc w:val="both"/>
      </w:pPr>
      <w:r>
        <w:rPr>
          <w:rFonts w:ascii="Calibri" w:hAnsi="Calibri" w:eastAsia="Calibri" w:cs="Calibri"/>
          <w:b w:val="0"/>
          <w:i w:val="0"/>
          <w:color w:val="333333"/>
          <w:sz w:val="21"/>
        </w:rPr>
        <w:t>Sulla base dei dati riportati nelle precedenti sezioni, fondati su evidenze BDAP, SIOPE e sui questionari della Sezione delle Autonomie, il quadro finanziario complessivo dell'ente, Comune di San Felice del Molise, alla chiusura dell'esercizio 2021 si presenta nei termini di seguito sintetizzati.</w:t>
      </w:r>
    </w:p>
    <w:tbl>
      <w:tblPr>
        <w:tblW w:type="dxa" w:w="9638"/>
        <w:jc w:val="center"/>
        <w:tblLayout w:type="fixed"/>
        <w:tblLook w:firstColumn="1" w:firstRow="1" w:lastColumn="0" w:lastRow="0" w:noHBand="0" w:noVBand="1" w:val="04A0"/>
      </w:tblPr>
      <w:tblGrid>
        <w:gridCol w:w="9638"/>
      </w:tblGrid>
      <w:tr>
        <w:trPr>
          <w:cantSplit/>
        </w:trPr>
        <w:tc>
          <w:tcPr>
            <w:tcW w:type="dxa" w:w="9638"/>
            <w:tcBorders>
              <w:top w:val="nil"/>
              <w:left w:val="single" w:sz="36" w:color="2E7D52"/>
              <w:bottom w:val="nil"/>
              <w:right w:val="nil"/>
            </w:tcBorders>
            <w:shd w:val="clear" w:color="auto" w:fill="E2F0E7"/>
            <w:tcMar>
              <w:top w:w="110" w:type="dxa"/>
              <w:left w:w="200" w:type="dxa"/>
              <w:bottom w:w="110" w:type="dxa"/>
              <w:right w:w="160" w:type="dxa"/>
            </w:tcMar>
          </w:tcPr>
          <w:p>
            <w:pPr>
              <w:spacing w:after="60"/>
            </w:pPr>
            <w:r>
              <w:rPr>
                <w:rFonts w:ascii="Calibri" w:hAnsi="Calibri" w:eastAsia="Calibri" w:cs="Calibri"/>
                <w:b/>
                <w:i w:val="0"/>
                <w:color w:val="2E7D52"/>
                <w:sz w:val="19"/>
              </w:rPr>
              <w:t>Conclusione di sintesi</w:t>
            </w:r>
          </w:p>
          <w:p>
            <w:pPr>
              <w:spacing w:after="40"/>
              <w:jc w:val="both"/>
            </w:pPr>
            <w:r>
              <w:rPr>
                <w:rFonts w:ascii="Calibri" w:hAnsi="Calibri" w:eastAsia="Calibri" w:cs="Calibri"/>
                <w:b w:val="0"/>
                <w:i w:val="0"/>
                <w:color w:val="333333"/>
                <w:sz w:val="20"/>
              </w:rPr>
              <w:t>L'Ente NON si trova in condizioni strutturalmente deficitarie ai sensi dell'art. 242 del D.Lgs. 267/2000. Nessuno dei parametri obiettivi di cui al D.M. 4 agosto 2023 risulta critico (0 parametri critici su 6 calcolabili). Il quadro finanziario complessivo evidenzia un assetto coerente con i principi di sana gestione finanziaria.</w:t>
            </w:r>
          </w:p>
        </w:tc>
      </w:tr>
    </w:tbl>
    <w:p>
      <w:pPr>
        <w:spacing w:after="80" w:before="0"/>
      </w:pPr>
    </w:p>
    <w:p>
      <w:pPr>
        <w:spacing w:after="120" w:before="0"/>
        <w:jc w:val="both"/>
      </w:pPr>
      <w:r>
        <w:rPr>
          <w:rFonts w:ascii="Calibri" w:hAnsi="Calibri" w:eastAsia="Calibri" w:cs="Calibri"/>
          <w:b w:val="0"/>
          <w:i w:val="0"/>
          <w:color w:val="333333"/>
          <w:sz w:val="21"/>
        </w:rPr>
        <w:t>La presente Relazione costituisce documento di trasparenza e supporto alle valutazioni del Consiglio Comunale, dell'Organo di Revisione e della Sezione Regionale di Controllo della Corte dei conti, ai sensi dell'art. 1, commi 166 e seguenti, della Legge 23 dicembre 2005 n. 266.</w:t>
      </w:r>
    </w:p>
    <w:p>
      <w:pPr>
        <w:spacing w:after="120" w:before="0"/>
        <w:jc w:val="both"/>
      </w:pPr>
      <w:r>
        <w:rPr>
          <w:rFonts w:ascii="Calibri" w:hAnsi="Calibri" w:eastAsia="Calibri" w:cs="Calibri"/>
          <w:b w:val="0"/>
          <w:i w:val="0"/>
          <w:color w:val="333333"/>
          <w:sz w:val="21"/>
        </w:rPr>
        <w:t>Il Responsabile del Servizio Finanziario attesta la corrispondenza dei dati esposti con le risultanze delle scritture contabili dell'ente e con i flussi inviati ai sistemi SIOPE e BDAP.</w:t>
      </w:r>
    </w:p>
    <w:p>
      <w:pPr>
        <w:keepNext/>
        <w:spacing w:after="320" w:before="480"/>
        <w:jc w:val="right"/>
      </w:pPr>
      <w:r>
        <w:rPr>
          <w:rFonts w:ascii="Calibri" w:hAnsi="Calibri" w:eastAsia="Calibri" w:cs="Calibri"/>
          <w:b w:val="0"/>
          <w:i w:val="0"/>
          <w:color w:val="656665"/>
          <w:sz w:val="20"/>
        </w:rPr>
        <w:t>San Felice del Molise, 26/09/2026</w:t>
      </w:r>
    </w:p>
    <w:tbl>
      <w:tblPr>
        <w:tblW w:type="dxa" w:w="9637"/>
        <w:tblBorders>
          <w:top w:val="nil"/>
          <w:left w:val="nil"/>
          <w:bottom w:val="nil"/>
          <w:right w:val="nil"/>
          <w:insideH w:val="nil"/>
          <w:insideV w:val="nil"/>
        </w:tblBorders>
        <w:tblLayout w:type="fixed"/>
        <w:tblLook w:firstColumn="1" w:firstRow="1" w:lastColumn="0" w:lastRow="0" w:noHBand="0" w:noVBand="1" w:val="04A0"/>
      </w:tblPr>
      <w:tblGrid>
        <w:gridCol w:w="5102"/>
        <w:gridCol w:w="4535"/>
      </w:tblGrid>
      <w:tr>
        <w:trPr>
          <w:cantSplit/>
        </w:trPr>
        <w:tc>
          <w:tcPr>
            <w:tcW w:type="dxa" w:w="5102"/>
          </w:tcPr>
          <w:p/>
        </w:tc>
        <w:tc>
          <w:tcPr>
            <w:tcW w:type="dxa" w:w="4535"/>
          </w:tcPr>
          <w:p>
            <w:pPr>
              <w:jc w:val="center"/>
            </w:pPr>
            <w:r>
              <w:rPr>
                <w:rFonts w:ascii="Calibri" w:hAnsi="Calibri" w:eastAsia="Calibri" w:cs="Calibri"/>
                <w:b w:val="0"/>
                <w:i/>
                <w:color w:val="656665"/>
                <w:sz w:val="19"/>
              </w:rPr>
              <w:t>Responsabile del Servizio Finanziario</w:t>
            </w:r>
          </w:p>
          <w:p>
            <w:pPr>
              <w:pBdr>
                <w:bottom w:val="single" w:sz="6" w:space="4" w:color="333333"/>
              </w:pBdr>
              <w:spacing w:before="520" w:after="40"/>
            </w:pPr>
          </w:p>
          <w:p>
            <w:pPr>
              <w:jc w:val="center"/>
            </w:pPr>
            <w:r>
              <w:rPr>
                <w:rFonts w:ascii="Calibri" w:hAnsi="Calibri" w:eastAsia="Calibri" w:cs="Calibri"/>
                <w:b/>
                <w:i w:val="0"/>
                <w:color w:val="0F2246"/>
                <w:sz w:val="22"/>
              </w:rPr>
              <w:t>(Nome del Responsabile)</w:t>
            </w:r>
          </w:p>
        </w:tc>
      </w:tr>
    </w:tbl>
    <w:p>
      <w:pPr>
        <w:pBdr>
          <w:bottom w:val="single" w:sz="4" w:space="4" w:color="E5E1D5"/>
        </w:pBdr>
        <w:spacing w:after="120" w:before="0"/>
      </w:pPr>
    </w:p>
    <w:p>
      <w:pPr>
        <w:spacing w:after="80" w:before="0"/>
      </w:pPr>
      <w:r>
        <w:rPr>
          <w:rFonts w:ascii="Calibri" w:hAnsi="Calibri" w:eastAsia="Calibri" w:cs="Calibri"/>
          <w:b w:val="0"/>
          <w:i/>
          <w:color w:val="656665"/>
          <w:sz w:val="17"/>
        </w:rPr>
        <w:t>Documento elaborato con il cruscotto Officina Tributaria, sezione Dossier Bilanci Enti Locali. Le elaborazioni si fondano su dati open BDAP, SIOPE, Conto Annuale RGS, ISPRA, Allegato l. La validazione finale dei dati e delle conclusioni resta in capo al Responsabile del Servizio Finanziario dell'ente.</w:t>
      </w:r>
    </w:p>
    <w:sectPr w:rsidR="00FC693F" w:rsidRPr="0006063C" w:rsidSect="00034616">
      <w:headerReference w:type="default" r:id="rId10"/>
      <w:footerReference w:type="default" r:id="rId11"/>
      <w:pgSz w:w="11906" w:h="16838"/>
      <w:pgMar w:top="1304" w:right="1134" w:bottom="1134" w:left="1134" w:header="567" w:footer="51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Bdr>
        <w:top w:val="single" w:sz="4" w:space="4" w:color="C9C3B2"/>
      </w:pBdr>
      <w:tabs>
        <w:tab w:pos="4680" w:val="clear"/>
        <w:tab w:pos="9360" w:val="clear"/>
        <w:tab w:pos="9638" w:val="right"/>
      </w:tabs>
    </w:pPr>
    <w:r>
      <w:rPr>
        <w:rFonts w:ascii="Calibri" w:hAnsi="Calibri" w:eastAsia="Calibri" w:cs="Calibri"/>
        <w:b w:val="0"/>
        <w:i w:val="0"/>
        <w:color w:val="656665"/>
        <w:sz w:val="16"/>
      </w:rPr>
      <w:t>Officina Tributaria S.p.A.  ·  Documento riservato</w:t>
    </w:r>
    <w:r>
      <w:rPr>
        <w:rFonts w:ascii="Calibri" w:hAnsi="Calibri" w:eastAsia="Calibri" w:cs="Calibri"/>
        <w:b w:val="0"/>
        <w:i w:val="0"/>
        <w:color w:val="656665"/>
        <w:sz w:val="16"/>
      </w:rPr>
      <w:tab/>
      <w:t xml:space="preserve">Pag. </w:t>
    </w:r>
    <w:r>
      <w:rPr>
        <w:rFonts w:ascii="Calibri" w:hAnsi="Calibri" w:eastAsia="Calibri" w:cs="Calibri"/>
        <w:b w:val="0"/>
        <w:i w:val="0"/>
        <w:color w:val="656665"/>
        <w:sz w:val="16"/>
      </w:rPr>
      <w:fldChar w:fldCharType="begin"/>
      <w:instrText xml:space="preserve"> PAGE </w:instrText>
      <w:fldChar w:fldCharType="separate"/>
      <w:t>1</w:t>
      <w:fldChar w:fldCharType="end"/>
    </w:r>
    <w:r>
      <w:rPr>
        <w:rFonts w:ascii="Calibri" w:hAnsi="Calibri" w:eastAsia="Calibri" w:cs="Calibri"/>
        <w:b w:val="0"/>
        <w:i w:val="0"/>
        <w:color w:val="656665"/>
        <w:sz w:val="16"/>
      </w:rPr>
      <w:t xml:space="preserve"> di </w:t>
    </w:r>
    <w:r>
      <w:rPr>
        <w:rFonts w:ascii="Calibri" w:hAnsi="Calibri" w:eastAsia="Calibri" w:cs="Calibri"/>
        <w:b w:val="0"/>
        <w:i w:val="0"/>
        <w:color w:val="656665"/>
        <w:sz w:val="16"/>
      </w:rPr>
      <w:fldChar w:fldCharType="begin"/>
      <w:instrText xml:space="preserve"> NUMPAGES </w:instrText>
      <w:fldChar w:fldCharType="separate"/>
      <w:t>1</w: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Bdr>
        <w:bottom w:val="single" w:sz="6" w:space="4" w:color="C9C3B2"/>
      </w:pBdr>
      <w:tabs>
        <w:tab w:pos="4680" w:val="clear"/>
        <w:tab w:pos="9360" w:val="clear"/>
        <w:tab w:pos="9638" w:val="right"/>
      </w:tabs>
      <w:spacing w:after="0"/>
    </w:pPr>
    <w:r>
      <w:drawing>
        <wp:inline xmlns:a="http://schemas.openxmlformats.org/drawingml/2006/main" xmlns:pic="http://schemas.openxmlformats.org/drawingml/2006/picture">
          <wp:extent cx="1007407" cy="306000"/>
          <wp:docPr id="1" name="Picture 1"/>
          <wp:cNvGraphicFramePr>
            <a:graphicFrameLocks noChangeAspect="1"/>
          </wp:cNvGraphicFramePr>
          <a:graphic>
            <a:graphicData uri="http://schemas.openxmlformats.org/drawingml/2006/picture">
              <pic:pic>
                <pic:nvPicPr>
                  <pic:cNvPr id="0" name="logo_intestazione.png"/>
                  <pic:cNvPicPr/>
                </pic:nvPicPr>
                <pic:blipFill>
                  <a:blip r:embed="rId1"/>
                  <a:stretch>
                    <a:fillRect/>
                  </a:stretch>
                </pic:blipFill>
                <pic:spPr>
                  <a:xfrm>
                    <a:off x="0" y="0"/>
                    <a:ext cx="1007407" cy="306000"/>
                  </a:xfrm>
                  <a:prstGeom prst="rect"/>
                </pic:spPr>
              </pic:pic>
            </a:graphicData>
          </a:graphic>
        </wp:inline>
      </w:drawing>
    </w:r>
    <w:r>
      <w:rPr>
        <w:rFonts w:ascii="Calibri" w:hAnsi="Calibri" w:eastAsia="Calibri" w:cs="Calibri"/>
        <w:b w:val="0"/>
        <w:i/>
        <w:color w:val="656665"/>
        <w:sz w:val="17"/>
      </w:rPr>
      <w:tab/>
      <w:t>Relazione al rendiconto 2021  ·  Comune di San Felice del Molise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Calibri" w:hAnsi="Calibri" w:eastAsia="Calibri" w:cs="Calibri"/>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Calibri" w:hAnsi="Calibri" w:eastAsia="Calibri" w:cs="Calibri"/>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Calibri" w:hAnsi="Calibri" w:eastAsia="Calibri" w:cs="Calibri"/>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Calibri" w:hAnsi="Calibri" w:eastAsia="Calibri" w:cs="Calibri"/>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100"/>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hAnsi="Calibri" w:eastAsia="Calibri" w:cs="Calibri"/>
        <w:sz w:val="22"/>
        <w:szCs w:val="22"/>
        <w:lang w:val="it-IT" w:eastAsia="it-IT"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eastAsia="Calibri" w:cs="Calibri"/>
      <w:color w:val="333333"/>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320" w:after="120"/>
      <w:outlineLvl w:val="0"/>
    </w:pPr>
    <w:rPr>
      <w:rFonts w:ascii="Calibri" w:hAnsi="Calibri" w:eastAsia="Calibri" w:cs="Calibri"/>
      <w:b/>
      <w:bCs/>
      <w:i w:val="0"/>
      <w:color w:val="0F2246"/>
      <w:sz w:val="30"/>
      <w:szCs w:val="28"/>
    </w:rPr>
  </w:style>
  <w:style w:type="paragraph" w:styleId="Heading2">
    <w:name w:val="heading 2"/>
    <w:basedOn w:val="Normal"/>
    <w:next w:val="Normal"/>
    <w:link w:val="Heading2Char"/>
    <w:uiPriority w:val="9"/>
    <w:unhideWhenUsed/>
    <w:qFormat/>
    <w:rsid w:val="00FC693F"/>
    <w:pPr>
      <w:keepNext/>
      <w:keepLines/>
      <w:spacing w:before="200" w:after="120"/>
      <w:outlineLvl w:val="1"/>
    </w:pPr>
    <w:rPr>
      <w:rFonts w:ascii="Calibri" w:hAnsi="Calibri" w:eastAsia="Calibri" w:cs="Calibri"/>
      <w:b/>
      <w:bCs/>
      <w:i w:val="0"/>
      <w:color w:val="1A396B"/>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Calibri" w:hAnsi="Calibri" w:eastAsia="Calibri" w:cs="Calibr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Calibri" w:hAnsi="Calibri" w:eastAsia="Calibri" w:cs="Calibr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Calibri" w:hAnsi="Calibri" w:eastAsia="Calibri" w:cs="Calibr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Calibri" w:hAnsi="Calibri" w:eastAsia="Calibri" w:cs="Calibr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Calibri" w:hAnsi="Calibri" w:eastAsia="Calibri" w:cs="Calibr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Calibri" w:hAnsi="Calibri" w:eastAsia="Calibri" w:cs="Calibr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Calibri" w:hAnsi="Calibri" w:eastAsia="Calibri" w:cs="Calibr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Calibri" w:hAnsi="Calibri" w:eastAsia="Calibri" w:cs="Calibr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Calibri" w:hAnsi="Calibri" w:eastAsia="Calibri" w:cs="Calibri"/>
      <w:b/>
      <w:bCs/>
      <w:color w:val="4F81BD" w:themeColor="accent1"/>
      <w:sz w:val="26"/>
      <w:szCs w:val="26"/>
    </w:rPr>
  </w:style>
  <w:style w:type="character" w:customStyle="1" w:styleId="Heading3Char">
    <w:name w:val="Heading 3 Char"/>
    <w:basedOn w:val="DefaultParagraphFont"/>
    <w:link w:val="Heading3"/>
    <w:uiPriority w:val="9"/>
    <w:rsid w:val="00FC693F"/>
    <w:rPr>
      <w:rFonts w:ascii="Calibri" w:hAnsi="Calibri" w:eastAsia="Calibri" w:cs="Calibr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Calibri" w:hAnsi="Calibri" w:eastAsia="Calibri" w:cs="Calibr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Calibri" w:hAnsi="Calibri" w:eastAsia="Calibri" w:cs="Calibr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Calibri" w:hAnsi="Calibri" w:eastAsia="Calibri" w:cs="Calibr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Calibri" w:hAnsi="Calibri" w:eastAsia="Calibri" w:cs="Calibr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alibri" w:hAnsi="Calibri" w:eastAsia="Calibri" w:cs="Calibri"/>
      <w:sz w:val="20"/>
      <w:szCs w:val="20"/>
    </w:rPr>
  </w:style>
  <w:style w:type="character" w:customStyle="1" w:styleId="MacroTextChar">
    <w:name w:val="Macro Text Char"/>
    <w:basedOn w:val="DefaultParagraphFont"/>
    <w:link w:val="MacroText"/>
    <w:uiPriority w:val="99"/>
    <w:rsid w:val="0029639D"/>
    <w:rPr>
      <w:rFonts w:ascii="Calibri" w:hAnsi="Calibri" w:eastAsia="Calibri" w:cs="Calibri"/>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Calibri" w:hAnsi="Calibri" w:eastAsia="Calibri" w:cs="Calibri"/>
      <w:b/>
      <w:bCs/>
      <w:i/>
      <w:iCs/>
      <w:color w:val="4F81BD" w:themeColor="accent1"/>
    </w:rPr>
  </w:style>
  <w:style w:type="character" w:customStyle="1" w:styleId="Heading5Char">
    <w:name w:val="Heading 5 Char"/>
    <w:basedOn w:val="DefaultParagraphFont"/>
    <w:link w:val="Heading5"/>
    <w:uiPriority w:val="9"/>
    <w:semiHidden/>
    <w:rsid w:val="00FC693F"/>
    <w:rPr>
      <w:rFonts w:ascii="Calibri" w:hAnsi="Calibri" w:eastAsia="Calibri" w:cs="Calibri"/>
      <w:color w:val="243F60" w:themeColor="accent1" w:themeShade="7F"/>
    </w:rPr>
  </w:style>
  <w:style w:type="character" w:customStyle="1" w:styleId="Heading6Char">
    <w:name w:val="Heading 6 Char"/>
    <w:basedOn w:val="DefaultParagraphFont"/>
    <w:link w:val="Heading6"/>
    <w:uiPriority w:val="9"/>
    <w:semiHidden/>
    <w:rsid w:val="00FC693F"/>
    <w:rPr>
      <w:rFonts w:ascii="Calibri" w:hAnsi="Calibri" w:eastAsia="Calibri" w:cs="Calibri"/>
      <w:i/>
      <w:iCs/>
      <w:color w:val="243F60" w:themeColor="accent1" w:themeShade="7F"/>
    </w:rPr>
  </w:style>
  <w:style w:type="character" w:customStyle="1" w:styleId="Heading7Char">
    <w:name w:val="Heading 7 Char"/>
    <w:basedOn w:val="DefaultParagraphFont"/>
    <w:link w:val="Heading7"/>
    <w:uiPriority w:val="9"/>
    <w:semiHidden/>
    <w:rsid w:val="00FC693F"/>
    <w:rPr>
      <w:rFonts w:ascii="Calibri" w:hAnsi="Calibri" w:eastAsia="Calibri" w:cs="Calibri"/>
      <w:i/>
      <w:iCs/>
      <w:color w:val="404040" w:themeColor="text1" w:themeTint="BF"/>
    </w:rPr>
  </w:style>
  <w:style w:type="character" w:customStyle="1" w:styleId="Heading8Char">
    <w:name w:val="Heading 8 Char"/>
    <w:basedOn w:val="DefaultParagraphFont"/>
    <w:link w:val="Heading8"/>
    <w:uiPriority w:val="9"/>
    <w:semiHidden/>
    <w:rsid w:val="00FC693F"/>
    <w:rPr>
      <w:rFonts w:ascii="Calibri" w:hAnsi="Calibri" w:eastAsia="Calibri" w:cs="Calibri"/>
      <w:color w:val="4F81BD" w:themeColor="accent1"/>
      <w:sz w:val="20"/>
      <w:szCs w:val="20"/>
    </w:rPr>
  </w:style>
  <w:style w:type="character" w:customStyle="1" w:styleId="Heading9Char">
    <w:name w:val="Heading 9 Char"/>
    <w:basedOn w:val="DefaultParagraphFont"/>
    <w:link w:val="Heading9"/>
    <w:uiPriority w:val="9"/>
    <w:semiHidden/>
    <w:rsid w:val="00FC693F"/>
    <w:rPr>
      <w:rFonts w:ascii="Calibri" w:hAnsi="Calibri" w:eastAsia="Calibri" w:cs="Calibr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Calibri" w:hAnsi="Calibri" w:eastAsia="Calibri" w:cs="Calibr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Calibri" w:hAnsi="Calibri" w:eastAsia="Calibri" w:cs="Calibr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Calibri" w:hAnsi="Calibri" w:eastAsia="Calibri" w:cs="Calibr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Calibri" w:hAnsi="Calibri" w:eastAsia="Calibri" w:cs="Calibr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Calibri" w:hAnsi="Calibri" w:eastAsia="Calibri" w:cs="Calibr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Calibri" w:hAnsi="Calibri" w:eastAsia="Calibri" w:cs="Calibr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Calibri" w:hAnsi="Calibri" w:eastAsia="Calibri" w:cs="Calibr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hAnsi="Calibri" w:eastAsia="Calibri" w:cs="Calibri"/>
        <w:sz w:val="22"/>
        <w:szCs w:val="22"/>
        <w:lang w:val="it-IT" w:eastAsia="it-IT"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Calibri" w:hAnsi="Calibri" w:eastAsia="Calibri" w:cs="Calibr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Calibri" w:hAnsi="Calibri" w:eastAsia="Calibri" w:cs="Calibr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Calibri" w:hAnsi="Calibri" w:eastAsia="Calibri" w:cs="Calibr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Calibri" w:hAnsi="Calibri" w:eastAsia="Calibri" w:cs="Calibr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Calibri" w:hAnsi="Calibri" w:eastAsia="Calibri" w:cs="Calibr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Calibri" w:hAnsi="Calibri" w:eastAsia="Calibri" w:cs="Calibr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Calibri" w:hAnsi="Calibri" w:eastAsia="Calibri" w:cs="Calibr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Calibri" w:hAnsi="Calibri" w:eastAsia="Calibri" w:cs="Calibr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Calibri" w:hAnsi="Calibri" w:eastAsia="Calibri" w:cs="Calibr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Calibri" w:hAnsi="Calibri" w:eastAsia="Calibri" w:cs="Calibr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Calibri" w:hAnsi="Calibri" w:eastAsia="Calibri" w:cs="Calibri"/>
      <w:b/>
      <w:bCs/>
      <w:color w:val="4F81BD" w:themeColor="accent1"/>
      <w:sz w:val="26"/>
      <w:szCs w:val="26"/>
    </w:rPr>
  </w:style>
  <w:style w:type="character" w:customStyle="1" w:styleId="Heading3Char">
    <w:name w:val="Heading 3 Char"/>
    <w:basedOn w:val="DefaultParagraphFont"/>
    <w:link w:val="Heading3"/>
    <w:uiPriority w:val="9"/>
    <w:rsid w:val="00FC693F"/>
    <w:rPr>
      <w:rFonts w:ascii="Calibri" w:hAnsi="Calibri" w:eastAsia="Calibri" w:cs="Calibr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Calibri" w:hAnsi="Calibri" w:eastAsia="Calibri" w:cs="Calibr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Calibri" w:hAnsi="Calibri" w:eastAsia="Calibri" w:cs="Calibr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Calibri" w:hAnsi="Calibri" w:eastAsia="Calibri" w:cs="Calibr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Calibri" w:hAnsi="Calibri" w:eastAsia="Calibri" w:cs="Calibr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alibri" w:hAnsi="Calibri" w:eastAsia="Calibri" w:cs="Calibri"/>
      <w:sz w:val="20"/>
      <w:szCs w:val="20"/>
    </w:rPr>
  </w:style>
  <w:style w:type="character" w:customStyle="1" w:styleId="MacroTextChar">
    <w:name w:val="Macro Text Char"/>
    <w:basedOn w:val="DefaultParagraphFont"/>
    <w:link w:val="MacroText"/>
    <w:uiPriority w:val="99"/>
    <w:rsid w:val="0029639D"/>
    <w:rPr>
      <w:rFonts w:ascii="Calibri" w:hAnsi="Calibri" w:eastAsia="Calibri" w:cs="Calibri"/>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Calibri" w:hAnsi="Calibri" w:eastAsia="Calibri" w:cs="Calibri"/>
      <w:b/>
      <w:bCs/>
      <w:i/>
      <w:iCs/>
      <w:color w:val="4F81BD" w:themeColor="accent1"/>
    </w:rPr>
  </w:style>
  <w:style w:type="character" w:customStyle="1" w:styleId="Heading5Char">
    <w:name w:val="Heading 5 Char"/>
    <w:basedOn w:val="DefaultParagraphFont"/>
    <w:link w:val="Heading5"/>
    <w:uiPriority w:val="9"/>
    <w:semiHidden/>
    <w:rsid w:val="00FC693F"/>
    <w:rPr>
      <w:rFonts w:ascii="Calibri" w:hAnsi="Calibri" w:eastAsia="Calibri" w:cs="Calibri"/>
      <w:color w:val="243F60" w:themeColor="accent1" w:themeShade="7F"/>
    </w:rPr>
  </w:style>
  <w:style w:type="character" w:customStyle="1" w:styleId="Heading6Char">
    <w:name w:val="Heading 6 Char"/>
    <w:basedOn w:val="DefaultParagraphFont"/>
    <w:link w:val="Heading6"/>
    <w:uiPriority w:val="9"/>
    <w:semiHidden/>
    <w:rsid w:val="00FC693F"/>
    <w:rPr>
      <w:rFonts w:ascii="Calibri" w:hAnsi="Calibri" w:eastAsia="Calibri" w:cs="Calibri"/>
      <w:i/>
      <w:iCs/>
      <w:color w:val="243F60" w:themeColor="accent1" w:themeShade="7F"/>
    </w:rPr>
  </w:style>
  <w:style w:type="character" w:customStyle="1" w:styleId="Heading7Char">
    <w:name w:val="Heading 7 Char"/>
    <w:basedOn w:val="DefaultParagraphFont"/>
    <w:link w:val="Heading7"/>
    <w:uiPriority w:val="9"/>
    <w:semiHidden/>
    <w:rsid w:val="00FC693F"/>
    <w:rPr>
      <w:rFonts w:ascii="Calibri" w:hAnsi="Calibri" w:eastAsia="Calibri" w:cs="Calibri"/>
      <w:i/>
      <w:iCs/>
      <w:color w:val="404040" w:themeColor="text1" w:themeTint="BF"/>
    </w:rPr>
  </w:style>
  <w:style w:type="character" w:customStyle="1" w:styleId="Heading8Char">
    <w:name w:val="Heading 8 Char"/>
    <w:basedOn w:val="DefaultParagraphFont"/>
    <w:link w:val="Heading8"/>
    <w:uiPriority w:val="9"/>
    <w:semiHidden/>
    <w:rsid w:val="00FC693F"/>
    <w:rPr>
      <w:rFonts w:ascii="Calibri" w:hAnsi="Calibri" w:eastAsia="Calibri" w:cs="Calibri"/>
      <w:color w:val="4F81BD" w:themeColor="accent1"/>
      <w:sz w:val="20"/>
      <w:szCs w:val="20"/>
    </w:rPr>
  </w:style>
  <w:style w:type="character" w:customStyle="1" w:styleId="Heading9Char">
    <w:name w:val="Heading 9 Char"/>
    <w:basedOn w:val="DefaultParagraphFont"/>
    <w:link w:val="Heading9"/>
    <w:uiPriority w:val="9"/>
    <w:semiHidden/>
    <w:rsid w:val="00FC693F"/>
    <w:rPr>
      <w:rFonts w:ascii="Calibri" w:hAnsi="Calibri" w:eastAsia="Calibri" w:cs="Calibr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Calibri" w:hAnsi="Calibri" w:eastAsia="Calibri" w:cs="Calibr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Calibri" w:hAnsi="Calibri" w:eastAsia="Calibri" w:cs="Calibr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Calibri" w:hAnsi="Calibri" w:eastAsia="Calibri" w:cs="Calibr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Calibri" w:hAnsi="Calibri" w:eastAsia="Calibri" w:cs="Calibr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Calibri" w:hAnsi="Calibri" w:eastAsia="Calibri" w:cs="Calibr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Calibri" w:hAnsi="Calibri" w:eastAsia="Calibri" w:cs="Calibr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Calibri" w:hAnsi="Calibri" w:eastAsia="Calibri" w:cs="Calibr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header" Target="header1.xml"/><Relationship Id="rId11" Type="http://schemas.openxmlformats.org/officeDocument/2006/relationships/footer" Target="footer1.xml"/><Relationship Id="rId12" Type="http://schemas.openxmlformats.org/officeDocument/2006/relationships/image" Target="media/image3.png"/><Relationship Id="rId13" Type="http://schemas.openxmlformats.org/officeDocument/2006/relationships/image" Target="media/image4.png"/><Relationship Id="rId14" Type="http://schemas.openxmlformats.org/officeDocument/2006/relationships/image" Target="media/image5.png"/><Relationship Id="rId15" Type="http://schemas.openxmlformats.org/officeDocument/2006/relationships/image" Target="media/image6.png"/><Relationship Id="rId16" Type="http://schemas.openxmlformats.org/officeDocument/2006/relationships/image" Target="media/image7.png"/><Relationship Id="rId17" Type="http://schemas.openxmlformats.org/officeDocument/2006/relationships/image" Target="media/image8.png"/><Relationship Id="rId18" Type="http://schemas.openxmlformats.org/officeDocument/2006/relationships/image" Target="media/image9.png"/><Relationship Id="rId19" Type="http://schemas.openxmlformats.org/officeDocument/2006/relationships/image" Target="media/image10.png"/><Relationship Id="rId20" Type="http://schemas.openxmlformats.org/officeDocument/2006/relationships/image" Target="media/image11.png"/><Relationship Id="rId21" Type="http://schemas.openxmlformats.org/officeDocument/2006/relationships/image" Target="media/image12.png"/><Relationship Id="rId22" Type="http://schemas.openxmlformats.org/officeDocument/2006/relationships/image" Target="media/image13.png"/><Relationship Id="rId23" Type="http://schemas.openxmlformats.org/officeDocument/2006/relationships/image" Target="media/image14.png"/><Relationship Id="rId24" Type="http://schemas.openxmlformats.org/officeDocument/2006/relationships/image" Target="media/image15.pn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Officina Tributaria S.p.A.</dc:creator>
  <cp:keywords/>
  <dc:description/>
  <cp:lastModifiedBy>Officina Tributaria S.p.A.</cp:lastModifiedBy>
  <cp:revision>1</cp:revision>
  <dcterms:created xsi:type="dcterms:W3CDTF">2026-09-26T14:33:27Z</dcterms:created>
  <dcterms:modified xsi:type="dcterms:W3CDTF">2026-09-26T14:33:27Z</dcterms:modified>
  <cp:category/>
  <cp:contentStatus/>
  <dc:identifier/>
  <cp:version/>
  <dc:language>it-IT</dc:language>
</cp:coreProperties>
</file>

<file path=docProps/custom.xml><?xml version="1.0" encoding="utf-8"?>
<Properties xmlns="http://schemas.openxmlformats.org/officeDocument/2006/custom-properties" xmlns:vt="http://schemas.openxmlformats.org/officeDocument/2006/docPropsVTypes"/>
</file>