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Duino Aurisina</w:t>
      </w:r>
    </w:p>
    <w:p>
      <w:pPr>
        <w:spacing w:after="200" w:before="0"/>
      </w:pPr>
      <w:r>
        <w:rPr>
          <w:rFonts w:ascii="Calibri" w:hAnsi="Calibri" w:eastAsia="Calibri" w:cs="Calibri"/>
          <w:b w:val="0"/>
          <w:i w:val="0"/>
          <w:color w:val="656665"/>
          <w:sz w:val="21"/>
        </w:rPr>
        <w:t>Trieste  ·  Friuli-Venezia Giulia  ·  8.217 abitanti</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D383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032001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000024097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Duino Aurisina,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8.217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Trieste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Friuli-Venezia Giulia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D383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1.984,0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1.048,0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51,3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52,4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47,5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1.933,0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2.150,0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1.984,0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2.012,0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1.990,0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24,8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76,3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493,0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5.415.506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3.952.738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315.649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5.307.864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3.867.527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181.893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5.814.029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5.635.460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1.449.468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5.785.283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5.681.764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332.253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4.783.460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3.107.953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771.855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5.157.512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3.247.633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742.317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63,0%</w:t>
            </w:r>
          </w:p>
        </w:tc>
      </w:tr>
    </w:tbl>
    <w:p>
      <w:pPr>
        <w:spacing w:after="120" w:before="0"/>
      </w:pPr>
    </w:p>
    <w:p>
      <w:pPr>
        <w:pStyle w:val="Heading2"/>
      </w:pPr>
      <w:r>
        <w:rPr>
          <w:rFonts w:ascii="Calibri" w:hAnsi="Calibri" w:eastAsia="Calibri" w:cs="Calibri"/>
          <w:b/>
          <w:i w:val="0"/>
          <w:color w:val="1A396B"/>
          <w:sz w:val="24"/>
        </w:rPr>
        <w:t>7.1  Composizione delle entrate, anno 2018</w:t>
      </w:r>
    </w:p>
    <w:p>
      <w:pPr>
        <w:spacing w:after="40" w:before="80"/>
        <w:jc w:val="center"/>
      </w:pPr>
      <w:r>
        <w:drawing>
          <wp:inline xmlns:a="http://schemas.openxmlformats.org/drawingml/2006/main" xmlns:pic="http://schemas.openxmlformats.org/drawingml/2006/picture">
            <wp:extent cx="5040000" cy="3482671"/>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82671"/>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4.268.387 €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76.406 €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4.049.421 €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67.638 €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24,8 %, contro mediana fascia 51,3.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21,4 %, contro mediana fascia 16,6.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47,0 %, contro mediana fascia 34,3.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21,0 %, contro mediana fascia 15,9.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9,6 dip/1000ab, contro mediana fascia 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90,3 %,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Duino Aurisina,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Duino Aurisina,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Duino Aurisina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2026-09-26T18:32:46Z</dcterms:created>
  <dcterms:modified xsi:type="dcterms:W3CDTF">2026-09-26T18:32:46Z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